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7BD3B" w14:textId="789D1B6A" w:rsidR="00A34D73" w:rsidRPr="008B2B24" w:rsidRDefault="00A34D73" w:rsidP="008B2B24">
      <w:pPr>
        <w:spacing w:line="240" w:lineRule="auto"/>
        <w:rPr>
          <w:rFonts w:ascii="Times New Roman" w:hAnsi="Times New Roman" w:cs="Times New Roman"/>
          <w:b/>
          <w:bCs/>
        </w:rPr>
      </w:pPr>
      <w:r w:rsidRPr="008B2B24">
        <w:rPr>
          <w:rFonts w:ascii="Times New Roman" w:hAnsi="Times New Roman" w:cs="Times New Roman"/>
          <w:b/>
          <w:bCs/>
        </w:rPr>
        <w:t>Water Advocates’ 2025 Legislative Recommendations</w:t>
      </w:r>
    </w:p>
    <w:p w14:paraId="57F34F68" w14:textId="6A5D2C3C" w:rsidR="00A34D73" w:rsidRPr="008B2B24" w:rsidRDefault="00A34D73" w:rsidP="008B2B24">
      <w:pPr>
        <w:spacing w:line="240" w:lineRule="auto"/>
        <w:rPr>
          <w:rFonts w:ascii="Times New Roman" w:hAnsi="Times New Roman" w:cs="Times New Roman"/>
        </w:rPr>
      </w:pPr>
      <w:r w:rsidRPr="008B2B24">
        <w:rPr>
          <w:rFonts w:ascii="Times New Roman" w:hAnsi="Times New Roman" w:cs="Times New Roman"/>
        </w:rPr>
        <w:t xml:space="preserve">Our recommendations focus on </w:t>
      </w:r>
      <w:r w:rsidR="00926A1D" w:rsidRPr="008B2B24">
        <w:rPr>
          <w:rFonts w:ascii="Times New Roman" w:hAnsi="Times New Roman" w:cs="Times New Roman"/>
        </w:rPr>
        <w:t>implementing the landmark 2023 Water Security Planning Act</w:t>
      </w:r>
      <w:r w:rsidRPr="008B2B24">
        <w:rPr>
          <w:rFonts w:ascii="Times New Roman" w:hAnsi="Times New Roman" w:cs="Times New Roman"/>
        </w:rPr>
        <w:t xml:space="preserve"> and modernization of water governance to address the state’s most pressing </w:t>
      </w:r>
      <w:r w:rsidR="00926A1D" w:rsidRPr="008B2B24">
        <w:rPr>
          <w:rFonts w:ascii="Times New Roman" w:hAnsi="Times New Roman" w:cs="Times New Roman"/>
        </w:rPr>
        <w:t xml:space="preserve">water </w:t>
      </w:r>
      <w:r w:rsidRPr="008B2B24">
        <w:rPr>
          <w:rFonts w:ascii="Times New Roman" w:hAnsi="Times New Roman" w:cs="Times New Roman"/>
        </w:rPr>
        <w:t>challenges.</w:t>
      </w:r>
    </w:p>
    <w:p w14:paraId="2C3A33DB" w14:textId="77777777" w:rsidR="00A34D73" w:rsidRPr="008B2B24" w:rsidRDefault="00A34D73" w:rsidP="008B2B24">
      <w:pPr>
        <w:spacing w:line="240" w:lineRule="auto"/>
        <w:rPr>
          <w:rFonts w:ascii="Times New Roman" w:hAnsi="Times New Roman" w:cs="Times New Roman"/>
          <w:b/>
          <w:bCs/>
        </w:rPr>
      </w:pPr>
      <w:r w:rsidRPr="008B2B24">
        <w:rPr>
          <w:rFonts w:ascii="Times New Roman" w:hAnsi="Times New Roman" w:cs="Times New Roman"/>
          <w:b/>
          <w:bCs/>
        </w:rPr>
        <w:t>1. Fully Fund the Water Security Planning Act (WSPA)</w:t>
      </w:r>
    </w:p>
    <w:p w14:paraId="4FE421B0" w14:textId="77777777" w:rsidR="00A34D73" w:rsidRPr="008B2B24" w:rsidRDefault="00A34D73" w:rsidP="008B2B24">
      <w:pPr>
        <w:spacing w:line="240" w:lineRule="auto"/>
        <w:rPr>
          <w:rFonts w:ascii="Times New Roman" w:hAnsi="Times New Roman" w:cs="Times New Roman"/>
        </w:rPr>
      </w:pPr>
      <w:r w:rsidRPr="008B2B24">
        <w:rPr>
          <w:rFonts w:ascii="Times New Roman" w:hAnsi="Times New Roman" w:cs="Times New Roman"/>
        </w:rPr>
        <w:t>The 2023 WSPA empowers regions to develop water resilience plans, but its success depends on funding. The Governor’s FY26 budget includes no funding for regional planning grants—three years after the Act’s passage. We recommend:</w:t>
      </w:r>
    </w:p>
    <w:p w14:paraId="7DED4190" w14:textId="77777777" w:rsidR="00A34D73" w:rsidRPr="008B2B24" w:rsidRDefault="00A34D73" w:rsidP="008B2B24">
      <w:pPr>
        <w:numPr>
          <w:ilvl w:val="0"/>
          <w:numId w:val="1"/>
        </w:numPr>
        <w:spacing w:line="240" w:lineRule="auto"/>
        <w:rPr>
          <w:rFonts w:ascii="Times New Roman" w:hAnsi="Times New Roman" w:cs="Times New Roman"/>
        </w:rPr>
      </w:pPr>
      <w:r w:rsidRPr="008B2B24">
        <w:rPr>
          <w:rFonts w:ascii="Times New Roman" w:hAnsi="Times New Roman" w:cs="Times New Roman"/>
          <w:b/>
          <w:bCs/>
        </w:rPr>
        <w:t>$30 million in nonrecurring funding</w:t>
      </w:r>
      <w:r w:rsidRPr="008B2B24">
        <w:rPr>
          <w:rFonts w:ascii="Times New Roman" w:hAnsi="Times New Roman" w:cs="Times New Roman"/>
        </w:rPr>
        <w:t> for grants to regions and public education and outreach, both statewide and within regions.</w:t>
      </w:r>
    </w:p>
    <w:p w14:paraId="11F92F58" w14:textId="77777777" w:rsidR="00A34D73" w:rsidRPr="008B2B24" w:rsidRDefault="00A34D73" w:rsidP="008B2B24">
      <w:pPr>
        <w:spacing w:line="240" w:lineRule="auto"/>
        <w:rPr>
          <w:rFonts w:ascii="Times New Roman" w:hAnsi="Times New Roman" w:cs="Times New Roman"/>
        </w:rPr>
      </w:pPr>
      <w:r w:rsidRPr="008B2B24">
        <w:rPr>
          <w:rFonts w:ascii="Times New Roman" w:hAnsi="Times New Roman" w:cs="Times New Roman"/>
        </w:rPr>
        <w:t>Developing robust regional water security plans across New Mexico will require an estimated $80 million over the next decade. This investment is essential to enable decentralized, community-led planning based on accurate data and hydrologic realities.</w:t>
      </w:r>
    </w:p>
    <w:p w14:paraId="1F9A0A61" w14:textId="77777777" w:rsidR="00A34D73" w:rsidRPr="008B2B24" w:rsidRDefault="00A34D73" w:rsidP="008B2B24">
      <w:pPr>
        <w:spacing w:line="240" w:lineRule="auto"/>
        <w:rPr>
          <w:rFonts w:ascii="Times New Roman" w:hAnsi="Times New Roman" w:cs="Times New Roman"/>
          <w:b/>
          <w:bCs/>
        </w:rPr>
      </w:pPr>
      <w:r w:rsidRPr="008B2B24">
        <w:rPr>
          <w:rFonts w:ascii="Times New Roman" w:hAnsi="Times New Roman" w:cs="Times New Roman"/>
          <w:b/>
          <w:bCs/>
        </w:rPr>
        <w:t>2. Invest in Aquifer Research and Monitoring</w:t>
      </w:r>
    </w:p>
    <w:p w14:paraId="738CE2AF" w14:textId="77777777" w:rsidR="00A34D73" w:rsidRPr="008B2B24" w:rsidRDefault="00A34D73" w:rsidP="008B2B24">
      <w:pPr>
        <w:spacing w:line="240" w:lineRule="auto"/>
        <w:rPr>
          <w:rFonts w:ascii="Times New Roman" w:hAnsi="Times New Roman" w:cs="Times New Roman"/>
        </w:rPr>
      </w:pPr>
      <w:r w:rsidRPr="008B2B24">
        <w:rPr>
          <w:rFonts w:ascii="Times New Roman" w:hAnsi="Times New Roman" w:cs="Times New Roman"/>
        </w:rPr>
        <w:t>Aquifers are New Mexico’s most vital water reserves, yet they are severely threatened. To protect them, we support the Governor’s recommendation:</w:t>
      </w:r>
    </w:p>
    <w:p w14:paraId="7EE13D4B" w14:textId="77777777" w:rsidR="00A34D73" w:rsidRPr="008B2B24" w:rsidRDefault="00A34D73" w:rsidP="008B2B24">
      <w:pPr>
        <w:numPr>
          <w:ilvl w:val="0"/>
          <w:numId w:val="2"/>
        </w:numPr>
        <w:spacing w:line="240" w:lineRule="auto"/>
        <w:rPr>
          <w:rFonts w:ascii="Times New Roman" w:hAnsi="Times New Roman" w:cs="Times New Roman"/>
        </w:rPr>
      </w:pPr>
      <w:r w:rsidRPr="008B2B24">
        <w:rPr>
          <w:rFonts w:ascii="Times New Roman" w:hAnsi="Times New Roman" w:cs="Times New Roman"/>
          <w:b/>
          <w:bCs/>
        </w:rPr>
        <w:t>$28.7 million in nonrecurring funding</w:t>
      </w:r>
      <w:r w:rsidRPr="008B2B24">
        <w:rPr>
          <w:rFonts w:ascii="Times New Roman" w:hAnsi="Times New Roman" w:cs="Times New Roman"/>
        </w:rPr>
        <w:t> for the NM Bureau of Geology’s Aquifer Mapping Program, covering the first three years of a 12-year, $175 million plan.</w:t>
      </w:r>
    </w:p>
    <w:p w14:paraId="21F971D7" w14:textId="77777777" w:rsidR="00A34D73" w:rsidRPr="008B2B24" w:rsidRDefault="00A34D73" w:rsidP="008B2B24">
      <w:pPr>
        <w:spacing w:line="240" w:lineRule="auto"/>
        <w:rPr>
          <w:rFonts w:ascii="Times New Roman" w:hAnsi="Times New Roman" w:cs="Times New Roman"/>
          <w:b/>
          <w:bCs/>
        </w:rPr>
      </w:pPr>
      <w:r w:rsidRPr="008B2B24">
        <w:rPr>
          <w:rFonts w:ascii="Times New Roman" w:hAnsi="Times New Roman" w:cs="Times New Roman"/>
          <w:b/>
          <w:bCs/>
        </w:rPr>
        <w:t>3. Modernize Water Governance and Data Systems</w:t>
      </w:r>
    </w:p>
    <w:p w14:paraId="799107DD" w14:textId="77777777" w:rsidR="00A34D73" w:rsidRPr="008B2B24" w:rsidRDefault="00A34D73" w:rsidP="008B2B24">
      <w:pPr>
        <w:spacing w:line="240" w:lineRule="auto"/>
        <w:rPr>
          <w:rFonts w:ascii="Times New Roman" w:hAnsi="Times New Roman" w:cs="Times New Roman"/>
        </w:rPr>
      </w:pPr>
      <w:r w:rsidRPr="008B2B24">
        <w:rPr>
          <w:rFonts w:ascii="Times New Roman" w:hAnsi="Times New Roman" w:cs="Times New Roman"/>
        </w:rPr>
        <w:t>Effective water management requires modern tools and expertise. We recommend:</w:t>
      </w:r>
    </w:p>
    <w:p w14:paraId="4BE7A36B" w14:textId="77777777" w:rsidR="00A34D73" w:rsidRPr="008B2B24" w:rsidRDefault="00A34D73" w:rsidP="008B2B24">
      <w:pPr>
        <w:numPr>
          <w:ilvl w:val="0"/>
          <w:numId w:val="3"/>
        </w:numPr>
        <w:spacing w:line="240" w:lineRule="auto"/>
        <w:rPr>
          <w:rFonts w:ascii="Times New Roman" w:hAnsi="Times New Roman" w:cs="Times New Roman"/>
        </w:rPr>
      </w:pPr>
      <w:r w:rsidRPr="008B2B24">
        <w:rPr>
          <w:rFonts w:ascii="Times New Roman" w:hAnsi="Times New Roman" w:cs="Times New Roman"/>
          <w:b/>
          <w:bCs/>
        </w:rPr>
        <w:t>$30 million in nonrecurring funding</w:t>
      </w:r>
      <w:r w:rsidRPr="008B2B24">
        <w:rPr>
          <w:rFonts w:ascii="Times New Roman" w:hAnsi="Times New Roman" w:cs="Times New Roman"/>
        </w:rPr>
        <w:t> to upgrade OSE and ISC technology and implement the Water Data Act.</w:t>
      </w:r>
    </w:p>
    <w:p w14:paraId="10751C90" w14:textId="77777777" w:rsidR="00A34D73" w:rsidRPr="008B2B24" w:rsidRDefault="00A34D73" w:rsidP="008B2B24">
      <w:pPr>
        <w:numPr>
          <w:ilvl w:val="0"/>
          <w:numId w:val="3"/>
        </w:numPr>
        <w:spacing w:line="240" w:lineRule="auto"/>
        <w:rPr>
          <w:rFonts w:ascii="Times New Roman" w:hAnsi="Times New Roman" w:cs="Times New Roman"/>
        </w:rPr>
      </w:pPr>
      <w:r w:rsidRPr="008B2B24">
        <w:rPr>
          <w:rFonts w:ascii="Times New Roman" w:hAnsi="Times New Roman" w:cs="Times New Roman"/>
          <w:b/>
          <w:bCs/>
        </w:rPr>
        <w:t>$7.05 million in recurring funding</w:t>
      </w:r>
      <w:r w:rsidRPr="008B2B24">
        <w:rPr>
          <w:rFonts w:ascii="Times New Roman" w:hAnsi="Times New Roman" w:cs="Times New Roman"/>
        </w:rPr>
        <w:t> to recruit and retain skilled staff, as included in the Governor’s FY26 budget.</w:t>
      </w:r>
    </w:p>
    <w:p w14:paraId="77D567DF" w14:textId="77777777" w:rsidR="00A34D73" w:rsidRPr="008B2B24" w:rsidRDefault="00A34D73" w:rsidP="008B2B24">
      <w:pPr>
        <w:spacing w:line="240" w:lineRule="auto"/>
        <w:rPr>
          <w:rFonts w:ascii="Times New Roman" w:hAnsi="Times New Roman" w:cs="Times New Roman"/>
        </w:rPr>
      </w:pPr>
      <w:r w:rsidRPr="008B2B24">
        <w:rPr>
          <w:rFonts w:ascii="Times New Roman" w:hAnsi="Times New Roman" w:cs="Times New Roman"/>
        </w:rPr>
        <w:t>These investments will enhance public trust, improve data transparency, and support informed decision-making.</w:t>
      </w:r>
    </w:p>
    <w:p w14:paraId="50FED29E" w14:textId="7D9AE57A" w:rsidR="00A34D73" w:rsidRPr="008B2B24" w:rsidRDefault="00A34D73" w:rsidP="008B2B24">
      <w:pPr>
        <w:spacing w:line="240" w:lineRule="auto"/>
        <w:rPr>
          <w:rFonts w:ascii="Times New Roman" w:hAnsi="Times New Roman" w:cs="Times New Roman"/>
          <w:b/>
          <w:bCs/>
        </w:rPr>
      </w:pPr>
      <w:r w:rsidRPr="008B2B24">
        <w:rPr>
          <w:rFonts w:ascii="Times New Roman" w:hAnsi="Times New Roman" w:cs="Times New Roman"/>
          <w:b/>
          <w:bCs/>
        </w:rPr>
        <w:t xml:space="preserve">4. </w:t>
      </w:r>
      <w:r w:rsidR="00926A1D" w:rsidRPr="008B2B24">
        <w:rPr>
          <w:rFonts w:ascii="Times New Roman" w:hAnsi="Times New Roman" w:cs="Times New Roman"/>
          <w:b/>
          <w:bCs/>
        </w:rPr>
        <w:t>Implement</w:t>
      </w:r>
      <w:r w:rsidRPr="008B2B24">
        <w:rPr>
          <w:rFonts w:ascii="Times New Roman" w:hAnsi="Times New Roman" w:cs="Times New Roman"/>
          <w:b/>
          <w:bCs/>
        </w:rPr>
        <w:t xml:space="preserve"> Active Water Resource Management (AWRM)</w:t>
      </w:r>
      <w:r w:rsidR="00926A1D" w:rsidRPr="008B2B24">
        <w:rPr>
          <w:rFonts w:ascii="Times New Roman" w:hAnsi="Times New Roman" w:cs="Times New Roman"/>
          <w:b/>
          <w:bCs/>
        </w:rPr>
        <w:t xml:space="preserve"> where it was intended</w:t>
      </w:r>
    </w:p>
    <w:p w14:paraId="5AE2D3EF" w14:textId="593B5688" w:rsidR="00A34D73" w:rsidRPr="008B2B24" w:rsidRDefault="00A34D73" w:rsidP="008B2B24">
      <w:pPr>
        <w:spacing w:line="240" w:lineRule="auto"/>
        <w:rPr>
          <w:rFonts w:ascii="Times New Roman" w:hAnsi="Times New Roman" w:cs="Times New Roman"/>
        </w:rPr>
      </w:pPr>
      <w:r w:rsidRPr="008B2B24">
        <w:rPr>
          <w:rFonts w:ascii="Times New Roman" w:hAnsi="Times New Roman" w:cs="Times New Roman"/>
        </w:rPr>
        <w:t xml:space="preserve">The AWRM framework, upheld by the New Mexico Supreme Court, </w:t>
      </w:r>
      <w:r w:rsidR="00926A1D" w:rsidRPr="008B2B24">
        <w:rPr>
          <w:rFonts w:ascii="Times New Roman" w:hAnsi="Times New Roman" w:cs="Times New Roman"/>
        </w:rPr>
        <w:t xml:space="preserve">seeks to </w:t>
      </w:r>
      <w:r w:rsidRPr="008B2B24">
        <w:rPr>
          <w:rFonts w:ascii="Times New Roman" w:hAnsi="Times New Roman" w:cs="Times New Roman"/>
        </w:rPr>
        <w:t>ensures water use matches actual</w:t>
      </w:r>
      <w:r w:rsidR="00926A1D" w:rsidRPr="008B2B24">
        <w:rPr>
          <w:rFonts w:ascii="Times New Roman" w:hAnsi="Times New Roman" w:cs="Times New Roman"/>
        </w:rPr>
        <w:t>, legal water</w:t>
      </w:r>
      <w:r w:rsidRPr="008B2B24">
        <w:rPr>
          <w:rFonts w:ascii="Times New Roman" w:hAnsi="Times New Roman" w:cs="Times New Roman"/>
        </w:rPr>
        <w:t xml:space="preserve"> availability. Yet, it remains </w:t>
      </w:r>
      <w:r w:rsidR="00926A1D" w:rsidRPr="008B2B24">
        <w:rPr>
          <w:rFonts w:ascii="Times New Roman" w:hAnsi="Times New Roman" w:cs="Times New Roman"/>
        </w:rPr>
        <w:t>unutilized on the mainstem Rio Grande</w:t>
      </w:r>
      <w:r w:rsidRPr="008B2B24">
        <w:rPr>
          <w:rFonts w:ascii="Times New Roman" w:hAnsi="Times New Roman" w:cs="Times New Roman"/>
        </w:rPr>
        <w:t>. We recommend:</w:t>
      </w:r>
    </w:p>
    <w:p w14:paraId="4AE95E2D" w14:textId="54737280" w:rsidR="00A34D73" w:rsidRPr="008B2B24" w:rsidRDefault="00A34D73" w:rsidP="008B2B24">
      <w:pPr>
        <w:numPr>
          <w:ilvl w:val="0"/>
          <w:numId w:val="4"/>
        </w:numPr>
        <w:spacing w:line="240" w:lineRule="auto"/>
        <w:rPr>
          <w:rFonts w:ascii="Times New Roman" w:hAnsi="Times New Roman" w:cs="Times New Roman"/>
        </w:rPr>
      </w:pPr>
      <w:r w:rsidRPr="008B2B24">
        <w:rPr>
          <w:rFonts w:ascii="Times New Roman" w:hAnsi="Times New Roman" w:cs="Times New Roman"/>
          <w:b/>
          <w:bCs/>
        </w:rPr>
        <w:t>$2 million in funding</w:t>
      </w:r>
      <w:r w:rsidRPr="008B2B24">
        <w:rPr>
          <w:rFonts w:ascii="Times New Roman" w:hAnsi="Times New Roman" w:cs="Times New Roman"/>
        </w:rPr>
        <w:t> to establish water master districts and basin-specific rules for enforcement and water banking in the Middle and Lower Rio Grande.</w:t>
      </w:r>
    </w:p>
    <w:p w14:paraId="36E9208A" w14:textId="77777777" w:rsidR="00AF111E" w:rsidRDefault="00A34D73" w:rsidP="008B2B24">
      <w:pPr>
        <w:numPr>
          <w:ilvl w:val="0"/>
          <w:numId w:val="4"/>
        </w:numPr>
        <w:spacing w:line="240" w:lineRule="auto"/>
        <w:rPr>
          <w:rFonts w:ascii="Times New Roman" w:hAnsi="Times New Roman" w:cs="Times New Roman"/>
        </w:rPr>
      </w:pPr>
      <w:r w:rsidRPr="008B2B24">
        <w:rPr>
          <w:rFonts w:ascii="Times New Roman" w:hAnsi="Times New Roman" w:cs="Times New Roman"/>
        </w:rPr>
        <w:t xml:space="preserve">Passage of the OSE Enforcement Bill to </w:t>
      </w:r>
      <w:r w:rsidR="00926A1D" w:rsidRPr="008B2B24">
        <w:rPr>
          <w:rFonts w:ascii="Times New Roman" w:hAnsi="Times New Roman" w:cs="Times New Roman"/>
        </w:rPr>
        <w:t xml:space="preserve">allow practical enforcement against illegal water use, well drillers, illegal wells, etc.  The only lawful enforcement mechanisms now are limited to a small fine and district court litigation to seek an injunction against the illegal </w:t>
      </w:r>
    </w:p>
    <w:p w14:paraId="75CEC2D4" w14:textId="6D176E23" w:rsidR="00A34D73" w:rsidRPr="008B2B24" w:rsidRDefault="00926A1D" w:rsidP="00AF111E">
      <w:pPr>
        <w:spacing w:line="240" w:lineRule="auto"/>
        <w:ind w:left="720"/>
        <w:rPr>
          <w:rFonts w:ascii="Times New Roman" w:hAnsi="Times New Roman" w:cs="Times New Roman"/>
        </w:rPr>
      </w:pPr>
      <w:r w:rsidRPr="008B2B24">
        <w:rPr>
          <w:rFonts w:ascii="Times New Roman" w:hAnsi="Times New Roman" w:cs="Times New Roman"/>
        </w:rPr>
        <w:t xml:space="preserve">activity. </w:t>
      </w:r>
    </w:p>
    <w:p w14:paraId="18154118" w14:textId="3AB270FA" w:rsidR="00A34D73" w:rsidRPr="008B2B24" w:rsidRDefault="00A34D73" w:rsidP="008B2B24">
      <w:pPr>
        <w:spacing w:line="240" w:lineRule="auto"/>
        <w:rPr>
          <w:rFonts w:ascii="Times New Roman" w:hAnsi="Times New Roman" w:cs="Times New Roman"/>
          <w:b/>
          <w:bCs/>
        </w:rPr>
      </w:pPr>
      <w:r w:rsidRPr="008B2B24">
        <w:rPr>
          <w:rFonts w:ascii="Times New Roman" w:hAnsi="Times New Roman" w:cs="Times New Roman"/>
          <w:b/>
          <w:bCs/>
        </w:rPr>
        <w:lastRenderedPageBreak/>
        <w:t xml:space="preserve">5. Address “New Water” Resources with </w:t>
      </w:r>
      <w:r w:rsidR="00926A1D" w:rsidRPr="008B2B24">
        <w:rPr>
          <w:rFonts w:ascii="Times New Roman" w:hAnsi="Times New Roman" w:cs="Times New Roman"/>
          <w:b/>
          <w:bCs/>
        </w:rPr>
        <w:t>Explicit Conditions</w:t>
      </w:r>
    </w:p>
    <w:p w14:paraId="026EF5C9" w14:textId="77777777" w:rsidR="00A34D73" w:rsidRPr="008B2B24" w:rsidRDefault="00A34D73" w:rsidP="008B2B24">
      <w:pPr>
        <w:spacing w:line="240" w:lineRule="auto"/>
        <w:rPr>
          <w:rFonts w:ascii="Times New Roman" w:hAnsi="Times New Roman" w:cs="Times New Roman"/>
        </w:rPr>
      </w:pPr>
      <w:r w:rsidRPr="008B2B24">
        <w:rPr>
          <w:rFonts w:ascii="Times New Roman" w:hAnsi="Times New Roman" w:cs="Times New Roman"/>
        </w:rPr>
        <w:t>The Governor’s FY26 budget prioritizes $75 million for private-sector brackish water projects and $4 million for NMSU research on oilfield produced water treatment. While innovative solutions are important, these projects come with significant opportunity costs and risks if essential planning and governance initiatives remain underfunded.</w:t>
      </w:r>
    </w:p>
    <w:p w14:paraId="75D7DF1B" w14:textId="77777777" w:rsidR="00A34D73" w:rsidRPr="008B2B24" w:rsidRDefault="00A34D73" w:rsidP="008B2B24">
      <w:pPr>
        <w:spacing w:line="240" w:lineRule="auto"/>
        <w:rPr>
          <w:rFonts w:ascii="Times New Roman" w:hAnsi="Times New Roman" w:cs="Times New Roman"/>
        </w:rPr>
      </w:pPr>
      <w:r w:rsidRPr="008B2B24">
        <w:rPr>
          <w:rFonts w:ascii="Times New Roman" w:hAnsi="Times New Roman" w:cs="Times New Roman"/>
        </w:rPr>
        <w:t>We recommend funding these projects only under strict conditions:</w:t>
      </w:r>
    </w:p>
    <w:p w14:paraId="75970CC3" w14:textId="77777777" w:rsidR="00A34D73" w:rsidRPr="008B2B24" w:rsidRDefault="00A34D73" w:rsidP="008B2B24">
      <w:pPr>
        <w:numPr>
          <w:ilvl w:val="0"/>
          <w:numId w:val="5"/>
        </w:numPr>
        <w:spacing w:line="240" w:lineRule="auto"/>
        <w:rPr>
          <w:rFonts w:ascii="Times New Roman" w:hAnsi="Times New Roman" w:cs="Times New Roman"/>
        </w:rPr>
      </w:pPr>
      <w:r w:rsidRPr="008B2B24">
        <w:rPr>
          <w:rFonts w:ascii="Times New Roman" w:hAnsi="Times New Roman" w:cs="Times New Roman"/>
          <w:b/>
          <w:bCs/>
        </w:rPr>
        <w:t>$30 million for brackish water development</w:t>
      </w:r>
      <w:r w:rsidRPr="008B2B24">
        <w:rPr>
          <w:rFonts w:ascii="Times New Roman" w:hAnsi="Times New Roman" w:cs="Times New Roman"/>
        </w:rPr>
        <w:t>, contingent on oversight and accountability.</w:t>
      </w:r>
    </w:p>
    <w:p w14:paraId="3ED192A5" w14:textId="77777777" w:rsidR="00A34D73" w:rsidRPr="008B2B24" w:rsidRDefault="00A34D73" w:rsidP="008B2B24">
      <w:pPr>
        <w:numPr>
          <w:ilvl w:val="0"/>
          <w:numId w:val="5"/>
        </w:numPr>
        <w:spacing w:line="240" w:lineRule="auto"/>
        <w:rPr>
          <w:rFonts w:ascii="Times New Roman" w:hAnsi="Times New Roman" w:cs="Times New Roman"/>
        </w:rPr>
      </w:pPr>
      <w:r w:rsidRPr="008B2B24">
        <w:rPr>
          <w:rFonts w:ascii="Times New Roman" w:hAnsi="Times New Roman" w:cs="Times New Roman"/>
          <w:b/>
          <w:bCs/>
        </w:rPr>
        <w:t>$2 million for produced water research</w:t>
      </w:r>
      <w:r w:rsidRPr="008B2B24">
        <w:rPr>
          <w:rFonts w:ascii="Times New Roman" w:hAnsi="Times New Roman" w:cs="Times New Roman"/>
        </w:rPr>
        <w:t>, with conditions ensuring compliance with the 2022 audit of the NM Produced Water Research Consortium.</w:t>
      </w:r>
    </w:p>
    <w:p w14:paraId="08F39CE3" w14:textId="202EE599" w:rsidR="00A34D73" w:rsidRPr="008B2B24" w:rsidRDefault="00A34D73" w:rsidP="008B2B24">
      <w:pPr>
        <w:numPr>
          <w:ilvl w:val="0"/>
          <w:numId w:val="5"/>
        </w:numPr>
        <w:spacing w:line="240" w:lineRule="auto"/>
        <w:rPr>
          <w:rFonts w:ascii="Times New Roman" w:hAnsi="Times New Roman" w:cs="Times New Roman"/>
        </w:rPr>
      </w:pPr>
      <w:r w:rsidRPr="008B2B24">
        <w:rPr>
          <w:rFonts w:ascii="Times New Roman" w:hAnsi="Times New Roman" w:cs="Times New Roman"/>
        </w:rPr>
        <w:t>Transparent and scientifically rigorous public reporting by the NMED Secretary’s Office and the Consortium, replacing the current practices of misinformation and opacity</w:t>
      </w:r>
      <w:r w:rsidR="00926A1D" w:rsidRPr="008B2B24">
        <w:rPr>
          <w:rFonts w:ascii="Times New Roman" w:hAnsi="Times New Roman" w:cs="Times New Roman"/>
        </w:rPr>
        <w:t xml:space="preserve"> and mandating “scientific integrity and adherence to principles of honesty, objectivity, transparency, and professionalism” as now is required by the state of regional water planning entities receiving state funding.</w:t>
      </w:r>
    </w:p>
    <w:p w14:paraId="04D654E2" w14:textId="78A65F34" w:rsidR="00A34D73" w:rsidRDefault="00A34D73" w:rsidP="008B2B24">
      <w:pPr>
        <w:spacing w:line="240" w:lineRule="auto"/>
        <w:rPr>
          <w:rFonts w:ascii="Times New Roman" w:hAnsi="Times New Roman" w:cs="Times New Roman"/>
        </w:rPr>
      </w:pPr>
      <w:r w:rsidRPr="008B2B24">
        <w:rPr>
          <w:rFonts w:ascii="Times New Roman" w:hAnsi="Times New Roman" w:cs="Times New Roman"/>
        </w:rPr>
        <w:t>These safeguards are crucial to avoid repeating mistakes</w:t>
      </w:r>
      <w:r w:rsidR="00926A1D" w:rsidRPr="008B2B24">
        <w:rPr>
          <w:rFonts w:ascii="Times New Roman" w:hAnsi="Times New Roman" w:cs="Times New Roman"/>
        </w:rPr>
        <w:t xml:space="preserve"> based on visions unsupported by facts and science</w:t>
      </w:r>
      <w:r w:rsidRPr="008B2B24">
        <w:rPr>
          <w:rFonts w:ascii="Times New Roman" w:hAnsi="Times New Roman" w:cs="Times New Roman"/>
        </w:rPr>
        <w:t xml:space="preserve">, such as the $17 million </w:t>
      </w:r>
      <w:r w:rsidR="00926A1D" w:rsidRPr="008B2B24">
        <w:rPr>
          <w:rFonts w:ascii="Times New Roman" w:hAnsi="Times New Roman" w:cs="Times New Roman"/>
        </w:rPr>
        <w:t xml:space="preserve">in state funds </w:t>
      </w:r>
      <w:r w:rsidRPr="008B2B24">
        <w:rPr>
          <w:rFonts w:ascii="Times New Roman" w:hAnsi="Times New Roman" w:cs="Times New Roman"/>
        </w:rPr>
        <w:t xml:space="preserve">wasted on the </w:t>
      </w:r>
      <w:r w:rsidR="00926A1D" w:rsidRPr="008B2B24">
        <w:rPr>
          <w:rFonts w:ascii="Times New Roman" w:hAnsi="Times New Roman" w:cs="Times New Roman"/>
        </w:rPr>
        <w:t xml:space="preserve">politically inspired and authorized </w:t>
      </w:r>
      <w:r w:rsidRPr="008B2B24">
        <w:rPr>
          <w:rFonts w:ascii="Times New Roman" w:hAnsi="Times New Roman" w:cs="Times New Roman"/>
        </w:rPr>
        <w:t>Gila Diversion Project.</w:t>
      </w:r>
    </w:p>
    <w:p w14:paraId="4DBB52E9" w14:textId="77777777" w:rsidR="009A2729" w:rsidRPr="009A2729" w:rsidRDefault="009A2729" w:rsidP="008B2B24">
      <w:pPr>
        <w:spacing w:line="240" w:lineRule="auto"/>
        <w:rPr>
          <w:rFonts w:ascii="Times New Roman" w:hAnsi="Times New Roman" w:cs="Times New Roman"/>
          <w:b/>
          <w:bCs/>
          <w:sz w:val="32"/>
          <w:szCs w:val="32"/>
        </w:rPr>
      </w:pPr>
    </w:p>
    <w:p w14:paraId="157C6DB8" w14:textId="315A6DA1" w:rsidR="009A2729" w:rsidRPr="009A2729" w:rsidRDefault="009A2729" w:rsidP="008B2B24">
      <w:pPr>
        <w:spacing w:line="240" w:lineRule="auto"/>
        <w:rPr>
          <w:rFonts w:ascii="Times New Roman" w:hAnsi="Times New Roman" w:cs="Times New Roman"/>
          <w:b/>
          <w:bCs/>
          <w:sz w:val="32"/>
          <w:szCs w:val="32"/>
        </w:rPr>
      </w:pPr>
      <w:r w:rsidRPr="009A2729">
        <w:rPr>
          <w:rFonts w:ascii="Times New Roman" w:hAnsi="Times New Roman" w:cs="Times New Roman"/>
          <w:b/>
          <w:bCs/>
          <w:sz w:val="32"/>
          <w:szCs w:val="32"/>
        </w:rPr>
        <w:t>LWVNM positions</w:t>
      </w:r>
    </w:p>
    <w:p w14:paraId="04513B8C" w14:textId="77777777" w:rsidR="009A2729" w:rsidRDefault="009A2729" w:rsidP="008B2B24">
      <w:pPr>
        <w:spacing w:line="240" w:lineRule="auto"/>
        <w:rPr>
          <w:rFonts w:ascii="Times New Roman" w:hAnsi="Times New Roman" w:cs="Times New Roman"/>
        </w:rPr>
      </w:pPr>
    </w:p>
    <w:p w14:paraId="64001BD7" w14:textId="77777777" w:rsidR="009A2729" w:rsidRPr="009A2729" w:rsidRDefault="009A2729" w:rsidP="009A2729">
      <w:pPr>
        <w:spacing w:before="100" w:beforeAutospacing="1" w:after="100" w:afterAutospacing="1" w:line="240" w:lineRule="auto"/>
        <w:outlineLvl w:val="2"/>
        <w:rPr>
          <w:rFonts w:ascii="Verdana" w:eastAsia="Times New Roman" w:hAnsi="Verdana" w:cs="Times New Roman"/>
          <w:b/>
          <w:bCs/>
          <w:color w:val="045391"/>
          <w:kern w:val="0"/>
          <w:sz w:val="27"/>
          <w:szCs w:val="27"/>
          <w:shd w:val="clear" w:color="auto" w:fill="FFFFFF"/>
          <w14:ligatures w14:val="none"/>
        </w:rPr>
      </w:pPr>
      <w:bookmarkStart w:id="0" w:name="watersupply"/>
      <w:r w:rsidRPr="009A2729">
        <w:rPr>
          <w:rFonts w:ascii="Verdana" w:eastAsia="Times New Roman" w:hAnsi="Verdana" w:cs="Times New Roman"/>
          <w:b/>
          <w:bCs/>
          <w:color w:val="045391"/>
          <w:kern w:val="0"/>
          <w:sz w:val="27"/>
          <w:szCs w:val="27"/>
          <w:shd w:val="clear" w:color="auto" w:fill="FFFFFF"/>
          <w14:ligatures w14:val="none"/>
        </w:rPr>
        <w:t>Water Resources/Supply</w:t>
      </w:r>
    </w:p>
    <w:bookmarkEnd w:id="0"/>
    <w:p w14:paraId="7338F83F" w14:textId="77777777" w:rsidR="009A2729" w:rsidRPr="009A2729" w:rsidRDefault="009A2729" w:rsidP="009A2729">
      <w:pPr>
        <w:spacing w:after="0" w:line="240" w:lineRule="auto"/>
        <w:rPr>
          <w:rFonts w:ascii="Times New Roman" w:eastAsia="Times New Roman" w:hAnsi="Times New Roman" w:cs="Times New Roman"/>
          <w:kern w:val="0"/>
          <w14:ligatures w14:val="none"/>
        </w:rPr>
      </w:pPr>
      <w:r w:rsidRPr="009A2729">
        <w:rPr>
          <w:rFonts w:ascii="Verdana" w:eastAsia="Times New Roman" w:hAnsi="Verdana" w:cs="Times New Roman"/>
          <w:color w:val="000000"/>
          <w:kern w:val="0"/>
          <w:sz w:val="27"/>
          <w:szCs w:val="27"/>
          <w:shd w:val="clear" w:color="auto" w:fill="FFFFFF"/>
          <w14:ligatures w14:val="none"/>
        </w:rPr>
        <w:t>(Adopted 2010)</w:t>
      </w:r>
    </w:p>
    <w:p w14:paraId="6B986D5D" w14:textId="77777777" w:rsidR="009A2729" w:rsidRPr="009A2729" w:rsidRDefault="009A2729" w:rsidP="009A2729">
      <w:p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The League of Women Voters of New Mexico believes that consumptive use of water in New Mexico must be in balance with renewable supply. Healthy ecosystems naturally perform services that benefit both people and nature, such as cleaning water, reducing floods, and creating fish and wildlife habitat. To secure the benefits of functioning ecosystems and to conserve New Mexico's biodiversity, sufficient water must be budgeted for environmental flows. The creation and adherence to comprehensive water budgets is essential to preserve public lands, water, and open space, and to ensure that there will be enough water for future generations of New Mexicans. The state, water regions, and local governments must</w:t>
      </w:r>
    </w:p>
    <w:p w14:paraId="51A878F4" w14:textId="77777777" w:rsidR="009A2729" w:rsidRPr="009A2729" w:rsidRDefault="009A2729" w:rsidP="009A2729">
      <w:pPr>
        <w:numPr>
          <w:ilvl w:val="0"/>
          <w:numId w:val="7"/>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lastRenderedPageBreak/>
        <w:t>monitor and measure all water resources and uses, and publish this information;</w:t>
      </w:r>
    </w:p>
    <w:p w14:paraId="4734FF55" w14:textId="77777777" w:rsidR="009A2729" w:rsidRPr="009A2729" w:rsidRDefault="009A2729" w:rsidP="009A2729">
      <w:pPr>
        <w:numPr>
          <w:ilvl w:val="0"/>
          <w:numId w:val="7"/>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use a public process to create and follow water budgets;</w:t>
      </w:r>
    </w:p>
    <w:p w14:paraId="57343FC9" w14:textId="77777777" w:rsidR="009A2729" w:rsidRPr="009A2729" w:rsidRDefault="009A2729" w:rsidP="009A2729">
      <w:pPr>
        <w:numPr>
          <w:ilvl w:val="0"/>
          <w:numId w:val="7"/>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educate citizens on their responsibilities as well as their rights;</w:t>
      </w:r>
    </w:p>
    <w:p w14:paraId="0A7FEF0B" w14:textId="77777777" w:rsidR="009A2729" w:rsidRPr="009A2729" w:rsidRDefault="009A2729" w:rsidP="009A2729">
      <w:pPr>
        <w:numPr>
          <w:ilvl w:val="0"/>
          <w:numId w:val="7"/>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promote strategies to reduce demand;</w:t>
      </w:r>
    </w:p>
    <w:p w14:paraId="6902377C" w14:textId="77777777" w:rsidR="009A2729" w:rsidRPr="009A2729" w:rsidRDefault="009A2729" w:rsidP="009A2729">
      <w:pPr>
        <w:numPr>
          <w:ilvl w:val="0"/>
          <w:numId w:val="7"/>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 xml:space="preserve">minimize water contamination </w:t>
      </w:r>
      <w:proofErr w:type="gramStart"/>
      <w:r w:rsidRPr="009A2729">
        <w:rPr>
          <w:rFonts w:ascii="Verdana" w:eastAsia="Times New Roman" w:hAnsi="Verdana" w:cs="Times New Roman"/>
          <w:color w:val="000000"/>
          <w:kern w:val="0"/>
          <w:sz w:val="27"/>
          <w:szCs w:val="27"/>
          <w14:ligatures w14:val="none"/>
        </w:rPr>
        <w:t>in order to</w:t>
      </w:r>
      <w:proofErr w:type="gramEnd"/>
      <w:r w:rsidRPr="009A2729">
        <w:rPr>
          <w:rFonts w:ascii="Verdana" w:eastAsia="Times New Roman" w:hAnsi="Verdana" w:cs="Times New Roman"/>
          <w:color w:val="000000"/>
          <w:kern w:val="0"/>
          <w:sz w:val="27"/>
          <w:szCs w:val="27"/>
          <w14:ligatures w14:val="none"/>
        </w:rPr>
        <w:t xml:space="preserve"> promote the health and safety of all life;</w:t>
      </w:r>
    </w:p>
    <w:p w14:paraId="15177C9F" w14:textId="77777777" w:rsidR="009A2729" w:rsidRPr="009A2729" w:rsidRDefault="009A2729" w:rsidP="009A2729">
      <w:pPr>
        <w:numPr>
          <w:ilvl w:val="0"/>
          <w:numId w:val="7"/>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preserve and restore rivers and watersheds.</w:t>
      </w:r>
    </w:p>
    <w:p w14:paraId="41149ACE" w14:textId="77777777" w:rsidR="009A2729" w:rsidRPr="009A2729" w:rsidRDefault="009A2729" w:rsidP="009A2729">
      <w:p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Conservation of water and efficiency of use must be encouraged to enable New Mexico to meet its interstate compact obligations, to help balance use with supply, to relieve stress on the physical system, and to reduce net depletion.</w:t>
      </w:r>
    </w:p>
    <w:p w14:paraId="4E83AFC5" w14:textId="77777777" w:rsidR="009A2729" w:rsidRPr="009A2729" w:rsidRDefault="009A2729" w:rsidP="009A2729">
      <w:pPr>
        <w:spacing w:before="100" w:beforeAutospacing="1" w:after="100" w:afterAutospacing="1" w:line="240" w:lineRule="auto"/>
        <w:outlineLvl w:val="4"/>
        <w:rPr>
          <w:rFonts w:ascii="Verdana" w:eastAsia="Times New Roman" w:hAnsi="Verdana" w:cs="Times New Roman"/>
          <w:b/>
          <w:bCs/>
          <w:color w:val="045391"/>
          <w:kern w:val="0"/>
          <w:sz w:val="20"/>
          <w:szCs w:val="20"/>
          <w:shd w:val="clear" w:color="auto" w:fill="FFFFFF"/>
          <w14:ligatures w14:val="none"/>
        </w:rPr>
      </w:pPr>
      <w:bookmarkStart w:id="1" w:name="waterplanning"/>
      <w:r w:rsidRPr="009A2729">
        <w:rPr>
          <w:rFonts w:ascii="Verdana" w:eastAsia="Times New Roman" w:hAnsi="Verdana" w:cs="Times New Roman"/>
          <w:b/>
          <w:bCs/>
          <w:color w:val="045391"/>
          <w:kern w:val="0"/>
          <w:sz w:val="20"/>
          <w:szCs w:val="20"/>
          <w:shd w:val="clear" w:color="auto" w:fill="FFFFFF"/>
          <w14:ligatures w14:val="none"/>
        </w:rPr>
        <w:t>Regional Water Planning</w:t>
      </w:r>
    </w:p>
    <w:bookmarkEnd w:id="1"/>
    <w:p w14:paraId="2CFAF7BA" w14:textId="77777777" w:rsidR="009A2729" w:rsidRPr="009A2729" w:rsidRDefault="009A2729" w:rsidP="009A2729">
      <w:p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The League supports continued funding for regional planning. Using a public process, regional planning should</w:t>
      </w:r>
    </w:p>
    <w:p w14:paraId="32FE6846" w14:textId="77777777" w:rsidR="009A2729" w:rsidRPr="009A2729" w:rsidRDefault="009A2729" w:rsidP="009A2729">
      <w:pPr>
        <w:numPr>
          <w:ilvl w:val="0"/>
          <w:numId w:val="8"/>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gather and publish data on supply and demand, and provide regular updates;</w:t>
      </w:r>
    </w:p>
    <w:p w14:paraId="64F306C4" w14:textId="77777777" w:rsidR="009A2729" w:rsidRPr="009A2729" w:rsidRDefault="009A2729" w:rsidP="009A2729">
      <w:pPr>
        <w:numPr>
          <w:ilvl w:val="0"/>
          <w:numId w:val="8"/>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create a balanced water budget;</w:t>
      </w:r>
    </w:p>
    <w:p w14:paraId="5A577607" w14:textId="77777777" w:rsidR="009A2729" w:rsidRPr="009A2729" w:rsidRDefault="009A2729" w:rsidP="009A2729">
      <w:pPr>
        <w:numPr>
          <w:ilvl w:val="0"/>
          <w:numId w:val="8"/>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identify critical and emerging issues.</w:t>
      </w:r>
    </w:p>
    <w:p w14:paraId="6857C8CD" w14:textId="77777777" w:rsidR="009A2729" w:rsidRPr="009A2729" w:rsidRDefault="009A2729" w:rsidP="009A2729">
      <w:p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Local land use plans should be required to be consistent with applicable regional water plans.</w:t>
      </w:r>
    </w:p>
    <w:p w14:paraId="0ABF4DA6" w14:textId="77777777" w:rsidR="009A2729" w:rsidRPr="009A2729" w:rsidRDefault="009A2729" w:rsidP="009A2729">
      <w:p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The public welfare statements of a regional water plan should be considered by the State Engineer when reviewing applications for transfer of water rights.</w:t>
      </w:r>
    </w:p>
    <w:p w14:paraId="68127F5E" w14:textId="77777777" w:rsidR="009A2729" w:rsidRPr="009A2729" w:rsidRDefault="009A2729" w:rsidP="009A2729">
      <w:pPr>
        <w:spacing w:before="100" w:beforeAutospacing="1" w:after="100" w:afterAutospacing="1" w:line="240" w:lineRule="auto"/>
        <w:outlineLvl w:val="4"/>
        <w:rPr>
          <w:rFonts w:ascii="Verdana" w:eastAsia="Times New Roman" w:hAnsi="Verdana" w:cs="Times New Roman"/>
          <w:b/>
          <w:bCs/>
          <w:color w:val="045391"/>
          <w:kern w:val="0"/>
          <w:sz w:val="20"/>
          <w:szCs w:val="20"/>
          <w:shd w:val="clear" w:color="auto" w:fill="FFFFFF"/>
          <w14:ligatures w14:val="none"/>
        </w:rPr>
      </w:pPr>
      <w:bookmarkStart w:id="2" w:name="landuse_water"/>
      <w:r w:rsidRPr="009A2729">
        <w:rPr>
          <w:rFonts w:ascii="Verdana" w:eastAsia="Times New Roman" w:hAnsi="Verdana" w:cs="Times New Roman"/>
          <w:b/>
          <w:bCs/>
          <w:color w:val="045391"/>
          <w:kern w:val="0"/>
          <w:sz w:val="20"/>
          <w:szCs w:val="20"/>
          <w:shd w:val="clear" w:color="auto" w:fill="FFFFFF"/>
          <w14:ligatures w14:val="none"/>
        </w:rPr>
        <w:t>Land Use and Water</w:t>
      </w:r>
    </w:p>
    <w:bookmarkEnd w:id="2"/>
    <w:p w14:paraId="28AD1D7B" w14:textId="77777777" w:rsidR="009A2729" w:rsidRPr="009A2729" w:rsidRDefault="009A2729" w:rsidP="009A2729">
      <w:p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Land use and development must be tied to water availability. To encourage this</w:t>
      </w:r>
    </w:p>
    <w:p w14:paraId="1450B37B" w14:textId="77777777" w:rsidR="009A2729" w:rsidRPr="009A2729" w:rsidRDefault="009A2729" w:rsidP="009A2729">
      <w:pPr>
        <w:numPr>
          <w:ilvl w:val="0"/>
          <w:numId w:val="9"/>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Compliance with water availability determinations by the Office of the State Engineer (OSE) under the Subdivision Act should be mandatory.</w:t>
      </w:r>
    </w:p>
    <w:p w14:paraId="77022735" w14:textId="77777777" w:rsidR="009A2729" w:rsidRPr="009A2729" w:rsidRDefault="009A2729" w:rsidP="009A2729">
      <w:pPr>
        <w:numPr>
          <w:ilvl w:val="0"/>
          <w:numId w:val="9"/>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Review of subdivision applications pursuant to the Subdivision Act should be expanded to encompass all divisions of land.</w:t>
      </w:r>
    </w:p>
    <w:p w14:paraId="28A71EEE" w14:textId="77777777" w:rsidR="009A2729" w:rsidRPr="009A2729" w:rsidRDefault="009A2729" w:rsidP="009A2729">
      <w:pPr>
        <w:numPr>
          <w:ilvl w:val="0"/>
          <w:numId w:val="9"/>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lastRenderedPageBreak/>
        <w:t>Long-term cumulative impacts as well as short-term water requirements of development should be taken into consideration by the local permitting authority.</w:t>
      </w:r>
    </w:p>
    <w:p w14:paraId="2E5A61E9" w14:textId="77777777" w:rsidR="009A2729" w:rsidRPr="009A2729" w:rsidRDefault="009A2729" w:rsidP="009A2729">
      <w:pPr>
        <w:numPr>
          <w:ilvl w:val="0"/>
          <w:numId w:val="9"/>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The applicant must be required to acquire water rights before development can proceed.</w:t>
      </w:r>
    </w:p>
    <w:p w14:paraId="5C6AEC21" w14:textId="77777777" w:rsidR="009A2729" w:rsidRPr="009A2729" w:rsidRDefault="009A2729" w:rsidP="009A2729">
      <w:pPr>
        <w:numPr>
          <w:ilvl w:val="0"/>
          <w:numId w:val="9"/>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The impact of any transfer of water rights on the area of origin must be assessed.</w:t>
      </w:r>
    </w:p>
    <w:p w14:paraId="0CF18894" w14:textId="77777777" w:rsidR="009A2729" w:rsidRPr="009A2729" w:rsidRDefault="009A2729" w:rsidP="009A2729">
      <w:pPr>
        <w:numPr>
          <w:ilvl w:val="0"/>
          <w:numId w:val="9"/>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The permitting authority should evaluate the impact of proposed developments on "public welfare" as defined by the applicable regional water plan and be able to demonstrate that the proposed development is consistent with the plan.</w:t>
      </w:r>
    </w:p>
    <w:p w14:paraId="29116065" w14:textId="77777777" w:rsidR="009A2729" w:rsidRPr="009A2729" w:rsidRDefault="009A2729" w:rsidP="009A2729">
      <w:pPr>
        <w:numPr>
          <w:ilvl w:val="0"/>
          <w:numId w:val="9"/>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New residential and commercial developments should be water-efficient.</w:t>
      </w:r>
    </w:p>
    <w:p w14:paraId="1AABD93C" w14:textId="77777777" w:rsidR="009A2729" w:rsidRPr="009A2729" w:rsidRDefault="009A2729" w:rsidP="009A2729">
      <w:pPr>
        <w:numPr>
          <w:ilvl w:val="0"/>
          <w:numId w:val="9"/>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Growth should not be permitted where water is not available.</w:t>
      </w:r>
    </w:p>
    <w:p w14:paraId="4DB9A4C5" w14:textId="77777777" w:rsidR="009A2729" w:rsidRPr="009A2729" w:rsidRDefault="009A2729" w:rsidP="009A2729">
      <w:p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 xml:space="preserve">Local zoning and subdivision statutes should be updated. State and local governments should collaborate in addressing the problem of antiquated subdivisions </w:t>
      </w:r>
      <w:proofErr w:type="gramStart"/>
      <w:r w:rsidRPr="009A2729">
        <w:rPr>
          <w:rFonts w:ascii="Verdana" w:eastAsia="Times New Roman" w:hAnsi="Verdana" w:cs="Times New Roman"/>
          <w:color w:val="000000"/>
          <w:kern w:val="0"/>
          <w:sz w:val="27"/>
          <w:szCs w:val="27"/>
          <w14:ligatures w14:val="none"/>
        </w:rPr>
        <w:t>in order to</w:t>
      </w:r>
      <w:proofErr w:type="gramEnd"/>
      <w:r w:rsidRPr="009A2729">
        <w:rPr>
          <w:rFonts w:ascii="Verdana" w:eastAsia="Times New Roman" w:hAnsi="Verdana" w:cs="Times New Roman"/>
          <w:color w:val="000000"/>
          <w:kern w:val="0"/>
          <w:sz w:val="27"/>
          <w:szCs w:val="27"/>
          <w14:ligatures w14:val="none"/>
        </w:rPr>
        <w:t xml:space="preserve"> facilitate planning and to make the water budget process meaningful.</w:t>
      </w:r>
    </w:p>
    <w:p w14:paraId="65F2E877" w14:textId="77777777" w:rsidR="009A2729" w:rsidRPr="009A2729" w:rsidRDefault="009A2729" w:rsidP="009A2729">
      <w:pPr>
        <w:spacing w:before="100" w:beforeAutospacing="1" w:after="100" w:afterAutospacing="1" w:line="240" w:lineRule="auto"/>
        <w:outlineLvl w:val="4"/>
        <w:rPr>
          <w:rFonts w:ascii="Verdana" w:eastAsia="Times New Roman" w:hAnsi="Verdana" w:cs="Times New Roman"/>
          <w:b/>
          <w:bCs/>
          <w:color w:val="045391"/>
          <w:kern w:val="0"/>
          <w:sz w:val="20"/>
          <w:szCs w:val="20"/>
          <w:shd w:val="clear" w:color="auto" w:fill="FFFFFF"/>
          <w14:ligatures w14:val="none"/>
        </w:rPr>
      </w:pPr>
      <w:bookmarkStart w:id="3" w:name="role_govt"/>
      <w:r w:rsidRPr="009A2729">
        <w:rPr>
          <w:rFonts w:ascii="Verdana" w:eastAsia="Times New Roman" w:hAnsi="Verdana" w:cs="Times New Roman"/>
          <w:b/>
          <w:bCs/>
          <w:color w:val="045391"/>
          <w:kern w:val="0"/>
          <w:sz w:val="20"/>
          <w:szCs w:val="20"/>
          <w:shd w:val="clear" w:color="auto" w:fill="FFFFFF"/>
          <w14:ligatures w14:val="none"/>
        </w:rPr>
        <w:t>Role of Government</w:t>
      </w:r>
    </w:p>
    <w:bookmarkEnd w:id="3"/>
    <w:p w14:paraId="32CD0156" w14:textId="77777777" w:rsidR="009A2729" w:rsidRPr="009A2729" w:rsidRDefault="009A2729" w:rsidP="009A2729">
      <w:p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State government and the legal process must work to reconcile the many claims on New Mexico water in a manner that is open and as fair as possible. Among other considerations</w:t>
      </w:r>
    </w:p>
    <w:p w14:paraId="7DB90D7D" w14:textId="77777777" w:rsidR="009A2729" w:rsidRPr="009A2729" w:rsidRDefault="009A2729" w:rsidP="009A2729">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Communal as well as private interests must be respected in applying water law;</w:t>
      </w:r>
    </w:p>
    <w:p w14:paraId="3F477F07" w14:textId="77777777" w:rsidR="009A2729" w:rsidRPr="009A2729" w:rsidRDefault="009A2729" w:rsidP="009A2729">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Maintenance of in-stream flow and general ecological health must be recognized as a "beneficial use" of water.</w:t>
      </w:r>
    </w:p>
    <w:p w14:paraId="34E10AE2" w14:textId="77777777" w:rsidR="009A2729" w:rsidRPr="009A2729" w:rsidRDefault="009A2729" w:rsidP="009A2729">
      <w:p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The Office of the State Engineer should be adequately funded to execute its functions. In addition</w:t>
      </w:r>
    </w:p>
    <w:p w14:paraId="386B43B0" w14:textId="77777777" w:rsidR="009A2729" w:rsidRPr="009A2729" w:rsidRDefault="009A2729" w:rsidP="009A2729">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The OSE must be given more authority to regulate domestic well permits. Improved regulation and monitoring of domestic wells and septic systems is essential to protect groundwater supplies and should be adequately funded.</w:t>
      </w:r>
    </w:p>
    <w:p w14:paraId="06108AA3" w14:textId="77777777" w:rsidR="009A2729" w:rsidRPr="009A2729" w:rsidRDefault="009A2729" w:rsidP="009A2729">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lastRenderedPageBreak/>
        <w:t>The effort to gather data must be coordinated and adequately funded by the state, which should establish consistent protocols, accounting methods, and terminology.</w:t>
      </w:r>
    </w:p>
    <w:p w14:paraId="43A33E92" w14:textId="77777777" w:rsidR="009A2729" w:rsidRPr="009A2729" w:rsidRDefault="009A2729" w:rsidP="009A2729">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The state should also help implement the regional water plans and provide coordination among planning activities at the different levels of government and across river basins.</w:t>
      </w:r>
    </w:p>
    <w:p w14:paraId="68A43915" w14:textId="77777777" w:rsidR="009A2729" w:rsidRPr="009A2729" w:rsidRDefault="009A2729" w:rsidP="009A2729">
      <w:p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Government should support research on water-related issues including</w:t>
      </w:r>
    </w:p>
    <w:p w14:paraId="7F2ED6DB" w14:textId="77777777" w:rsidR="009A2729" w:rsidRPr="009A2729" w:rsidRDefault="009A2729" w:rsidP="009A2729">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methods to manage and store water that lose less to evaporation,</w:t>
      </w:r>
    </w:p>
    <w:p w14:paraId="42F595E8" w14:textId="77777777" w:rsidR="009A2729" w:rsidRPr="009A2729" w:rsidRDefault="009A2729" w:rsidP="009A2729">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best agricultural practices that optimize the use of water for both farmers and downstream users, while sustaining the natural flow;</w:t>
      </w:r>
    </w:p>
    <w:p w14:paraId="6284B2FB" w14:textId="77777777" w:rsidR="009A2729" w:rsidRPr="009A2729" w:rsidRDefault="009A2729" w:rsidP="009A2729">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urban systems that maximize water re-use;</w:t>
      </w:r>
    </w:p>
    <w:p w14:paraId="17D32EE3" w14:textId="77777777" w:rsidR="009A2729" w:rsidRPr="009A2729" w:rsidRDefault="009A2729" w:rsidP="009A2729">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health of the state's rivers and watersheds.</w:t>
      </w:r>
    </w:p>
    <w:p w14:paraId="1BBA7CEE" w14:textId="77777777" w:rsidR="009A2729" w:rsidRPr="009A2729" w:rsidRDefault="009A2729" w:rsidP="009A2729">
      <w:pPr>
        <w:shd w:val="clear" w:color="auto" w:fill="FFFFFF"/>
        <w:spacing w:before="100" w:beforeAutospacing="1" w:after="100" w:afterAutospacing="1" w:line="240" w:lineRule="auto"/>
        <w:rPr>
          <w:rFonts w:ascii="Verdana" w:eastAsia="Times New Roman" w:hAnsi="Verdana" w:cs="Times New Roman"/>
          <w:color w:val="000000"/>
          <w:kern w:val="0"/>
          <w:sz w:val="27"/>
          <w:szCs w:val="27"/>
          <w14:ligatures w14:val="none"/>
        </w:rPr>
      </w:pPr>
      <w:r w:rsidRPr="009A2729">
        <w:rPr>
          <w:rFonts w:ascii="Verdana" w:eastAsia="Times New Roman" w:hAnsi="Verdana" w:cs="Times New Roman"/>
          <w:color w:val="000000"/>
          <w:kern w:val="0"/>
          <w:sz w:val="27"/>
          <w:szCs w:val="27"/>
          <w14:ligatures w14:val="none"/>
        </w:rPr>
        <w:t>Governments at every level must educate citizens by developing and disseminating data about water resources. Local governments must promulgate and enforce regulations promoting conservation, including positive incentives and rate structures.</w:t>
      </w:r>
    </w:p>
    <w:p w14:paraId="57693EF3" w14:textId="77777777" w:rsidR="009A2729" w:rsidRPr="008B2B24" w:rsidRDefault="009A2729" w:rsidP="008B2B24">
      <w:pPr>
        <w:spacing w:line="240" w:lineRule="auto"/>
        <w:rPr>
          <w:rFonts w:ascii="Times New Roman" w:hAnsi="Times New Roman" w:cs="Times New Roman"/>
        </w:rPr>
      </w:pPr>
    </w:p>
    <w:sectPr w:rsidR="009A2729" w:rsidRPr="008B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373EF"/>
    <w:multiLevelType w:val="multilevel"/>
    <w:tmpl w:val="DD1E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86B32"/>
    <w:multiLevelType w:val="multilevel"/>
    <w:tmpl w:val="4432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544CA"/>
    <w:multiLevelType w:val="multilevel"/>
    <w:tmpl w:val="8DFA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45378"/>
    <w:multiLevelType w:val="multilevel"/>
    <w:tmpl w:val="B93C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C74622"/>
    <w:multiLevelType w:val="multilevel"/>
    <w:tmpl w:val="98A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27C42"/>
    <w:multiLevelType w:val="multilevel"/>
    <w:tmpl w:val="ABD6D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EA4F53"/>
    <w:multiLevelType w:val="multilevel"/>
    <w:tmpl w:val="F1E22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75EDC"/>
    <w:multiLevelType w:val="multilevel"/>
    <w:tmpl w:val="CCC8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1968DA"/>
    <w:multiLevelType w:val="multilevel"/>
    <w:tmpl w:val="5FE8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2552FE"/>
    <w:multiLevelType w:val="multilevel"/>
    <w:tmpl w:val="58CA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84868"/>
    <w:multiLevelType w:val="multilevel"/>
    <w:tmpl w:val="085C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74DF5"/>
    <w:multiLevelType w:val="multilevel"/>
    <w:tmpl w:val="C8CE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3710152">
    <w:abstractNumId w:val="0"/>
  </w:num>
  <w:num w:numId="2" w16cid:durableId="1526208586">
    <w:abstractNumId w:val="1"/>
  </w:num>
  <w:num w:numId="3" w16cid:durableId="1548952547">
    <w:abstractNumId w:val="7"/>
  </w:num>
  <w:num w:numId="4" w16cid:durableId="1834300535">
    <w:abstractNumId w:val="4"/>
  </w:num>
  <w:num w:numId="5" w16cid:durableId="611320737">
    <w:abstractNumId w:val="2"/>
  </w:num>
  <w:num w:numId="6" w16cid:durableId="953093417">
    <w:abstractNumId w:val="6"/>
  </w:num>
  <w:num w:numId="7" w16cid:durableId="427967368">
    <w:abstractNumId w:val="11"/>
  </w:num>
  <w:num w:numId="8" w16cid:durableId="325398325">
    <w:abstractNumId w:val="10"/>
  </w:num>
  <w:num w:numId="9" w16cid:durableId="1371418455">
    <w:abstractNumId w:val="3"/>
  </w:num>
  <w:num w:numId="10" w16cid:durableId="1710715951">
    <w:abstractNumId w:val="5"/>
  </w:num>
  <w:num w:numId="11" w16cid:durableId="1499928776">
    <w:abstractNumId w:val="9"/>
  </w:num>
  <w:num w:numId="12" w16cid:durableId="863860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73"/>
    <w:rsid w:val="0020401C"/>
    <w:rsid w:val="006376F1"/>
    <w:rsid w:val="008B2B24"/>
    <w:rsid w:val="00926A1D"/>
    <w:rsid w:val="009A2729"/>
    <w:rsid w:val="00A34D73"/>
    <w:rsid w:val="00AF111E"/>
    <w:rsid w:val="00B02FBC"/>
    <w:rsid w:val="00B441F0"/>
    <w:rsid w:val="00EE4425"/>
    <w:rsid w:val="00FC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96ED"/>
  <w15:chartTrackingRefBased/>
  <w15:docId w15:val="{92E08421-1399-B544-9622-9833EC90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D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D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D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D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D73"/>
    <w:rPr>
      <w:rFonts w:eastAsiaTheme="majorEastAsia" w:cstheme="majorBidi"/>
      <w:color w:val="272727" w:themeColor="text1" w:themeTint="D8"/>
    </w:rPr>
  </w:style>
  <w:style w:type="paragraph" w:styleId="Title">
    <w:name w:val="Title"/>
    <w:basedOn w:val="Normal"/>
    <w:next w:val="Normal"/>
    <w:link w:val="TitleChar"/>
    <w:uiPriority w:val="10"/>
    <w:qFormat/>
    <w:rsid w:val="00A34D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D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D73"/>
    <w:pPr>
      <w:spacing w:before="160"/>
      <w:jc w:val="center"/>
    </w:pPr>
    <w:rPr>
      <w:i/>
      <w:iCs/>
      <w:color w:val="404040" w:themeColor="text1" w:themeTint="BF"/>
    </w:rPr>
  </w:style>
  <w:style w:type="character" w:customStyle="1" w:styleId="QuoteChar">
    <w:name w:val="Quote Char"/>
    <w:basedOn w:val="DefaultParagraphFont"/>
    <w:link w:val="Quote"/>
    <w:uiPriority w:val="29"/>
    <w:rsid w:val="00A34D73"/>
    <w:rPr>
      <w:i/>
      <w:iCs/>
      <w:color w:val="404040" w:themeColor="text1" w:themeTint="BF"/>
    </w:rPr>
  </w:style>
  <w:style w:type="paragraph" w:styleId="ListParagraph">
    <w:name w:val="List Paragraph"/>
    <w:basedOn w:val="Normal"/>
    <w:uiPriority w:val="34"/>
    <w:qFormat/>
    <w:rsid w:val="00A34D73"/>
    <w:pPr>
      <w:ind w:left="720"/>
      <w:contextualSpacing/>
    </w:pPr>
  </w:style>
  <w:style w:type="character" w:styleId="IntenseEmphasis">
    <w:name w:val="Intense Emphasis"/>
    <w:basedOn w:val="DefaultParagraphFont"/>
    <w:uiPriority w:val="21"/>
    <w:qFormat/>
    <w:rsid w:val="00A34D73"/>
    <w:rPr>
      <w:i/>
      <w:iCs/>
      <w:color w:val="0F4761" w:themeColor="accent1" w:themeShade="BF"/>
    </w:rPr>
  </w:style>
  <w:style w:type="paragraph" w:styleId="IntenseQuote">
    <w:name w:val="Intense Quote"/>
    <w:basedOn w:val="Normal"/>
    <w:next w:val="Normal"/>
    <w:link w:val="IntenseQuoteChar"/>
    <w:uiPriority w:val="30"/>
    <w:qFormat/>
    <w:rsid w:val="00A34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D73"/>
    <w:rPr>
      <w:i/>
      <w:iCs/>
      <w:color w:val="0F4761" w:themeColor="accent1" w:themeShade="BF"/>
    </w:rPr>
  </w:style>
  <w:style w:type="character" w:styleId="IntenseReference">
    <w:name w:val="Intense Reference"/>
    <w:basedOn w:val="DefaultParagraphFont"/>
    <w:uiPriority w:val="32"/>
    <w:qFormat/>
    <w:rsid w:val="00A34D73"/>
    <w:rPr>
      <w:b/>
      <w:bCs/>
      <w:smallCaps/>
      <w:color w:val="0F4761" w:themeColor="accent1" w:themeShade="BF"/>
      <w:spacing w:val="5"/>
    </w:rPr>
  </w:style>
  <w:style w:type="character" w:styleId="Hyperlink">
    <w:name w:val="Hyperlink"/>
    <w:basedOn w:val="DefaultParagraphFont"/>
    <w:uiPriority w:val="99"/>
    <w:unhideWhenUsed/>
    <w:rsid w:val="00A34D73"/>
    <w:rPr>
      <w:color w:val="467886" w:themeColor="hyperlink"/>
      <w:u w:val="single"/>
    </w:rPr>
  </w:style>
  <w:style w:type="character" w:styleId="UnresolvedMention">
    <w:name w:val="Unresolved Mention"/>
    <w:basedOn w:val="DefaultParagraphFont"/>
    <w:uiPriority w:val="99"/>
    <w:semiHidden/>
    <w:unhideWhenUsed/>
    <w:rsid w:val="00A3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14332">
      <w:bodyDiv w:val="1"/>
      <w:marLeft w:val="0"/>
      <w:marRight w:val="0"/>
      <w:marTop w:val="0"/>
      <w:marBottom w:val="0"/>
      <w:divBdr>
        <w:top w:val="none" w:sz="0" w:space="0" w:color="auto"/>
        <w:left w:val="none" w:sz="0" w:space="0" w:color="auto"/>
        <w:bottom w:val="none" w:sz="0" w:space="0" w:color="auto"/>
        <w:right w:val="none" w:sz="0" w:space="0" w:color="auto"/>
      </w:divBdr>
      <w:divsChild>
        <w:div w:id="277152627">
          <w:marLeft w:val="0"/>
          <w:marRight w:val="0"/>
          <w:marTop w:val="0"/>
          <w:marBottom w:val="0"/>
          <w:divBdr>
            <w:top w:val="none" w:sz="0" w:space="0" w:color="auto"/>
            <w:left w:val="none" w:sz="0" w:space="0" w:color="auto"/>
            <w:bottom w:val="none" w:sz="0" w:space="0" w:color="auto"/>
            <w:right w:val="none" w:sz="0" w:space="0" w:color="auto"/>
          </w:divBdr>
        </w:div>
      </w:divsChild>
    </w:div>
    <w:div w:id="863715607">
      <w:bodyDiv w:val="1"/>
      <w:marLeft w:val="0"/>
      <w:marRight w:val="0"/>
      <w:marTop w:val="0"/>
      <w:marBottom w:val="0"/>
      <w:divBdr>
        <w:top w:val="none" w:sz="0" w:space="0" w:color="auto"/>
        <w:left w:val="none" w:sz="0" w:space="0" w:color="auto"/>
        <w:bottom w:val="none" w:sz="0" w:space="0" w:color="auto"/>
        <w:right w:val="none" w:sz="0" w:space="0" w:color="auto"/>
      </w:divBdr>
    </w:div>
    <w:div w:id="1344162444">
      <w:bodyDiv w:val="1"/>
      <w:marLeft w:val="0"/>
      <w:marRight w:val="0"/>
      <w:marTop w:val="0"/>
      <w:marBottom w:val="0"/>
      <w:divBdr>
        <w:top w:val="none" w:sz="0" w:space="0" w:color="auto"/>
        <w:left w:val="none" w:sz="0" w:space="0" w:color="auto"/>
        <w:bottom w:val="none" w:sz="0" w:space="0" w:color="auto"/>
        <w:right w:val="none" w:sz="0" w:space="0" w:color="auto"/>
      </w:divBdr>
      <w:divsChild>
        <w:div w:id="622884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 Gaume</dc:creator>
  <cp:keywords/>
  <dc:description/>
  <cp:lastModifiedBy>Richard Mason</cp:lastModifiedBy>
  <cp:revision>4</cp:revision>
  <dcterms:created xsi:type="dcterms:W3CDTF">2024-12-18T18:36:00Z</dcterms:created>
  <dcterms:modified xsi:type="dcterms:W3CDTF">2024-12-18T18:50:00Z</dcterms:modified>
</cp:coreProperties>
</file>