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45E" w:rsidRPr="009755E1" w:rsidRDefault="00DB545E" w:rsidP="005F357C">
      <w:pPr>
        <w:pStyle w:val="Heading1"/>
      </w:pPr>
      <w:r w:rsidRPr="009755E1">
        <w:t xml:space="preserve">CITY of </w:t>
      </w:r>
      <w:smartTag w:uri="urn:schemas-microsoft-com:office:smarttags" w:element="City">
        <w:smartTag w:uri="urn:schemas-microsoft-com:office:smarttags" w:element="place">
          <w:r w:rsidRPr="009755E1">
            <w:t>ALBUQUERQUE</w:t>
          </w:r>
        </w:smartTag>
      </w:smartTag>
    </w:p>
    <w:p w:rsidR="00DB545E" w:rsidRPr="009755E1" w:rsidRDefault="001A27DB">
      <w:pPr>
        <w:pStyle w:val="Heading2"/>
        <w:tabs>
          <w:tab w:val="clear" w:pos="0"/>
        </w:tabs>
        <w:rPr>
          <w:rFonts w:ascii="Arial" w:hAnsi="Arial" w:cs="Arial"/>
        </w:rPr>
      </w:pPr>
      <w:r>
        <w:rPr>
          <w:rFonts w:ascii="Arial" w:hAnsi="Arial" w:cs="Arial"/>
        </w:rPr>
        <w:t>TWENT</w:t>
      </w:r>
      <w:r w:rsidR="00D724BC">
        <w:rPr>
          <w:rFonts w:ascii="Arial" w:hAnsi="Arial" w:cs="Arial"/>
        </w:rPr>
        <w:t xml:space="preserve">Y-FIRST </w:t>
      </w:r>
      <w:r w:rsidR="00DB545E" w:rsidRPr="009755E1">
        <w:rPr>
          <w:rFonts w:ascii="Arial" w:hAnsi="Arial" w:cs="Arial"/>
        </w:rPr>
        <w:t>COUNCIL</w:t>
      </w:r>
    </w:p>
    <w:p w:rsidR="00DB545E" w:rsidRPr="009755E1" w:rsidRDefault="00DB545E">
      <w:pPr>
        <w:suppressLineNumbers/>
        <w:suppressAutoHyphens/>
        <w:ind w:right="-720" w:hanging="720"/>
        <w:rPr>
          <w:rFonts w:ascii="Arial" w:hAnsi="Arial" w:cs="Arial"/>
        </w:rPr>
      </w:pPr>
    </w:p>
    <w:p w:rsidR="00DB545E" w:rsidRPr="009755E1" w:rsidRDefault="00DB545E">
      <w:pPr>
        <w:suppressLineNumbers/>
        <w:suppressAutoHyphens/>
        <w:ind w:right="-720" w:hanging="720"/>
        <w:rPr>
          <w:rFonts w:ascii="Arial" w:hAnsi="Arial" w:cs="Arial"/>
        </w:rPr>
      </w:pPr>
    </w:p>
    <w:p w:rsidR="00DB545E" w:rsidRPr="009755E1" w:rsidRDefault="00DB545E">
      <w:pPr>
        <w:suppressLineNumbers/>
        <w:tabs>
          <w:tab w:val="left" w:pos="6840"/>
        </w:tabs>
        <w:suppressAutoHyphens/>
        <w:ind w:right="-720" w:hanging="720"/>
        <w:rPr>
          <w:rFonts w:ascii="Arial" w:hAnsi="Arial" w:cs="Arial"/>
        </w:rPr>
      </w:pPr>
      <w:r w:rsidRPr="009755E1">
        <w:rPr>
          <w:rFonts w:ascii="Arial" w:hAnsi="Arial" w:cs="Arial"/>
        </w:rPr>
        <w:t xml:space="preserve">COUNCIL BILL NO. </w:t>
      </w:r>
      <w:r w:rsidRPr="009755E1">
        <w:rPr>
          <w:rFonts w:ascii="Arial" w:hAnsi="Arial" w:cs="Arial"/>
          <w:u w:val="single"/>
        </w:rPr>
        <w:t xml:space="preserve">                              </w:t>
      </w:r>
      <w:r w:rsidRPr="009755E1">
        <w:rPr>
          <w:rFonts w:ascii="Arial" w:hAnsi="Arial" w:cs="Arial"/>
        </w:rPr>
        <w:t xml:space="preserve">  ENACTMENT NO.   ________________________</w:t>
      </w:r>
    </w:p>
    <w:p w:rsidR="00DB545E" w:rsidRPr="009755E1" w:rsidRDefault="00DB545E">
      <w:pPr>
        <w:suppressLineNumbers/>
        <w:suppressAutoHyphens/>
        <w:ind w:right="-720" w:hanging="720"/>
        <w:rPr>
          <w:rFonts w:ascii="Arial" w:hAnsi="Arial" w:cs="Arial"/>
        </w:rPr>
      </w:pPr>
    </w:p>
    <w:p w:rsidR="00DB545E" w:rsidRPr="009755E1" w:rsidRDefault="00DB545E">
      <w:pPr>
        <w:suppressLineNumbers/>
        <w:tabs>
          <w:tab w:val="left" w:pos="1800"/>
        </w:tabs>
        <w:suppressAutoHyphens/>
        <w:ind w:right="-720" w:hanging="720"/>
        <w:rPr>
          <w:rFonts w:ascii="Arial" w:hAnsi="Arial" w:cs="Arial"/>
        </w:rPr>
      </w:pPr>
      <w:r w:rsidRPr="009755E1">
        <w:rPr>
          <w:rFonts w:ascii="Arial" w:hAnsi="Arial" w:cs="Arial"/>
        </w:rPr>
        <w:t>SPONSORED BY:</w:t>
      </w:r>
      <w:r w:rsidR="004119F0">
        <w:rPr>
          <w:rFonts w:ascii="Arial" w:hAnsi="Arial" w:cs="Arial"/>
        </w:rPr>
        <w:t xml:space="preserve">   </w:t>
      </w:r>
      <w:r w:rsidR="00882A73">
        <w:rPr>
          <w:rFonts w:ascii="Arial" w:hAnsi="Arial" w:cs="Arial"/>
        </w:rPr>
        <w:t>Patrick Davis</w:t>
      </w:r>
    </w:p>
    <w:p w:rsidR="00DB545E" w:rsidRPr="009755E1" w:rsidRDefault="00DB545E">
      <w:pPr>
        <w:suppressLineNumbers/>
        <w:ind w:left="360"/>
        <w:rPr>
          <w:rFonts w:ascii="Arial" w:hAnsi="Arial" w:cs="Arial"/>
        </w:rPr>
      </w:pPr>
    </w:p>
    <w:p w:rsidR="009755E1" w:rsidRDefault="009755E1" w:rsidP="004119F0">
      <w:pPr>
        <w:spacing w:line="360" w:lineRule="auto"/>
        <w:rPr>
          <w:rFonts w:ascii="Arial" w:hAnsi="Arial" w:cs="Arial"/>
        </w:rPr>
      </w:pPr>
    </w:p>
    <w:p w:rsidR="004119F0" w:rsidRDefault="004119F0" w:rsidP="004119F0">
      <w:pPr>
        <w:spacing w:line="360" w:lineRule="auto"/>
        <w:ind w:left="360"/>
        <w:jc w:val="center"/>
      </w:pPr>
      <w:r>
        <w:t>ORDINANCE</w:t>
      </w:r>
    </w:p>
    <w:p w:rsidR="006E11F9" w:rsidRDefault="006E11F9" w:rsidP="004119F0">
      <w:pPr>
        <w:spacing w:line="360" w:lineRule="auto"/>
        <w:ind w:left="360"/>
        <w:jc w:val="center"/>
      </w:pPr>
    </w:p>
    <w:p w:rsidR="004119F0" w:rsidRDefault="004119F0" w:rsidP="004119F0">
      <w:pPr>
        <w:pStyle w:val="BodyTextIndent"/>
      </w:pPr>
      <w:r>
        <w:t xml:space="preserve">AMENDING SECTION 13-2-4 ROA 1994, CONCERNING THE WAIVER OF THE DISTANCE REQUIREMENT BETWEEN PREMISES LICENSED TO SERVE </w:t>
      </w:r>
      <w:r w:rsidRPr="007C0488">
        <w:rPr>
          <w:color w:val="000000" w:themeColor="text1"/>
        </w:rPr>
        <w:t xml:space="preserve">ALCOHOLIC BEVERAGES AND SCHOOLS OR CHURCHES, TO ALLOW APPLICATIONS FOR WAIVERS </w:t>
      </w:r>
      <w:r w:rsidR="00C93723">
        <w:rPr>
          <w:color w:val="000000" w:themeColor="text1"/>
        </w:rPr>
        <w:t>T</w:t>
      </w:r>
      <w:r w:rsidR="002310B6" w:rsidRPr="002310B6">
        <w:rPr>
          <w:color w:val="000000" w:themeColor="text1"/>
        </w:rPr>
        <w:t xml:space="preserve">O ALLOW THE TRANSFER OF </w:t>
      </w:r>
      <w:r w:rsidR="002310B6">
        <w:rPr>
          <w:color w:val="000000" w:themeColor="text1"/>
        </w:rPr>
        <w:t xml:space="preserve">AN </w:t>
      </w:r>
      <w:r w:rsidR="002310B6" w:rsidRPr="002310B6">
        <w:rPr>
          <w:color w:val="000000" w:themeColor="text1"/>
        </w:rPr>
        <w:t xml:space="preserve">"INTER LOCAL OPTION DISTRICT" </w:t>
      </w:r>
      <w:r w:rsidR="002310B6">
        <w:rPr>
          <w:color w:val="000000" w:themeColor="text1"/>
        </w:rPr>
        <w:t>DISPENSER’S LICENSE</w:t>
      </w:r>
      <w:r w:rsidR="002310B6" w:rsidRPr="002310B6">
        <w:rPr>
          <w:color w:val="000000" w:themeColor="text1"/>
        </w:rPr>
        <w:t xml:space="preserve"> AS DEFINED </w:t>
      </w:r>
      <w:r w:rsidR="00C93723">
        <w:rPr>
          <w:color w:val="000000" w:themeColor="text1"/>
        </w:rPr>
        <w:t xml:space="preserve">AND REGULATED </w:t>
      </w:r>
      <w:r w:rsidR="002310B6" w:rsidRPr="002310B6">
        <w:rPr>
          <w:color w:val="000000" w:themeColor="text1"/>
        </w:rPr>
        <w:t>UNDER THE PROVISIONS OF THE LIQUOR CONTROL ACT (NMSA)</w:t>
      </w:r>
      <w:r w:rsidR="00065D24">
        <w:rPr>
          <w:color w:val="000000" w:themeColor="text1"/>
        </w:rPr>
        <w:t>]</w:t>
      </w:r>
      <w:r w:rsidR="002310B6">
        <w:t xml:space="preserve"> </w:t>
      </w:r>
      <w:r w:rsidR="00882A73" w:rsidRPr="007C0488">
        <w:rPr>
          <w:color w:val="000000" w:themeColor="text1"/>
        </w:rPr>
        <w:t>IN</w:t>
      </w:r>
      <w:r w:rsidR="00996453" w:rsidRPr="007C0488">
        <w:rPr>
          <w:color w:val="000000" w:themeColor="text1"/>
        </w:rPr>
        <w:t>TO</w:t>
      </w:r>
      <w:r w:rsidR="00882A73" w:rsidRPr="007C0488">
        <w:rPr>
          <w:color w:val="000000" w:themeColor="text1"/>
        </w:rPr>
        <w:t xml:space="preserve"> THE NOB HILL AREA</w:t>
      </w:r>
      <w:r w:rsidRPr="007C0488">
        <w:rPr>
          <w:color w:val="000000" w:themeColor="text1"/>
        </w:rPr>
        <w:t>.</w:t>
      </w:r>
    </w:p>
    <w:p w:rsidR="004119F0" w:rsidRDefault="004119F0" w:rsidP="004119F0">
      <w:pPr>
        <w:pStyle w:val="BodyTextIndent"/>
      </w:pPr>
      <w:r>
        <w:t>BE IT ORDAINED BY THE COUNCIL, THE GOVERNING BODY OF THE CITY OF ALBUQUERQUE:</w:t>
      </w:r>
    </w:p>
    <w:p w:rsidR="004119F0" w:rsidRDefault="004119F0" w:rsidP="004119F0">
      <w:pPr>
        <w:pStyle w:val="BodyTextIndent"/>
        <w:ind w:firstLine="360"/>
      </w:pPr>
      <w:r>
        <w:t>Section 1.</w:t>
      </w:r>
      <w:r>
        <w:tab/>
        <w:t>FINDINGS AND INTENT</w:t>
      </w:r>
      <w:bookmarkStart w:id="0" w:name="_GoBack"/>
      <w:bookmarkEnd w:id="0"/>
    </w:p>
    <w:p w:rsidR="004119F0" w:rsidRDefault="004119F0" w:rsidP="004119F0">
      <w:pPr>
        <w:pStyle w:val="BodyTextIndent"/>
        <w:ind w:firstLine="360"/>
      </w:pPr>
      <w:r>
        <w:t>(1)   The City Council finds that certain areas of the City are emerging as vibrant mixed-use districts featuring entertainment, dining, shopping, cultural and residential uses within walking distance of one another; and</w:t>
      </w:r>
    </w:p>
    <w:p w:rsidR="004119F0" w:rsidRDefault="004119F0" w:rsidP="004119F0">
      <w:pPr>
        <w:pStyle w:val="BodyTextIndent"/>
        <w:ind w:firstLine="360"/>
      </w:pPr>
      <w:r>
        <w:t>(2)   That the establishment and growth of these mixed use districts has the potential to spur revitalization in surrounding neighborhoods, promote tourism and further Albuquerque/Bernalillo County Comprehensive Plan goals and policies for active centers connected by multi-modal corridors; and</w:t>
      </w:r>
    </w:p>
    <w:p w:rsidR="004119F0" w:rsidRDefault="004119F0" w:rsidP="004119F0">
      <w:pPr>
        <w:pStyle w:val="BodyTextIndent"/>
      </w:pPr>
      <w:r>
        <w:t xml:space="preserve">That the Nob Hill area exemplifies this type of district and continues to evolve as a major cultural center for the City; and </w:t>
      </w:r>
    </w:p>
    <w:p w:rsidR="004119F0" w:rsidRDefault="004119F0" w:rsidP="004119F0">
      <w:pPr>
        <w:pStyle w:val="BodyTextIndent"/>
        <w:ind w:firstLine="360"/>
      </w:pPr>
      <w:r>
        <w:t>(3)   That the fine-grained nature of these neighborhoods often results in the close proximity of nightlife, such as full-service restaurants that serve alcohol, to daytime uses, including religious institutions; and</w:t>
      </w:r>
    </w:p>
    <w:p w:rsidR="004119F0" w:rsidRDefault="004119F0" w:rsidP="004119F0">
      <w:pPr>
        <w:pStyle w:val="BodyTextIndent"/>
        <w:ind w:firstLine="360"/>
      </w:pPr>
      <w:r>
        <w:lastRenderedPageBreak/>
        <w:t xml:space="preserve">(4)   Whereas the positive, collaborative growth of these districts warrants revisiting of city ordinances governing businesses and occupations as they relate to the sale of alcohol. </w:t>
      </w:r>
    </w:p>
    <w:p w:rsidR="004119F0" w:rsidRPr="00541F5A" w:rsidRDefault="004119F0" w:rsidP="004119F0">
      <w:pPr>
        <w:pStyle w:val="BodyTextIndent"/>
        <w:ind w:left="720"/>
        <w:rPr>
          <w:rFonts w:ascii="Arial" w:hAnsi="Arial" w:cs="Arial"/>
          <w:bCs/>
          <w:szCs w:val="24"/>
        </w:rPr>
      </w:pPr>
      <w:r w:rsidRPr="00541F5A">
        <w:rPr>
          <w:rFonts w:ascii="Arial" w:hAnsi="Arial" w:cs="Arial"/>
          <w:bCs/>
          <w:szCs w:val="24"/>
        </w:rPr>
        <w:t>SECTION 3.</w:t>
      </w:r>
      <w:r w:rsidRPr="00541F5A">
        <w:rPr>
          <w:rFonts w:ascii="Arial" w:hAnsi="Arial" w:cs="Arial"/>
          <w:bCs/>
          <w:szCs w:val="24"/>
        </w:rPr>
        <w:tab/>
      </w:r>
      <w:r w:rsidRPr="00541F5A">
        <w:rPr>
          <w:rFonts w:ascii="Arial" w:hAnsi="Arial" w:cs="Arial"/>
          <w:bCs/>
          <w:caps/>
          <w:szCs w:val="24"/>
        </w:rPr>
        <w:t>Section 13-2-4(A) is hereby amended as follows</w:t>
      </w:r>
      <w:r w:rsidRPr="00541F5A">
        <w:rPr>
          <w:rFonts w:ascii="Arial" w:hAnsi="Arial" w:cs="Arial"/>
          <w:bCs/>
          <w:szCs w:val="24"/>
        </w:rPr>
        <w:t>:</w:t>
      </w:r>
    </w:p>
    <w:p w:rsidR="004119F0" w:rsidRPr="00541F5A" w:rsidRDefault="004119F0" w:rsidP="004119F0">
      <w:pPr>
        <w:pStyle w:val="BodyTextIndent3"/>
        <w:rPr>
          <w:rFonts w:ascii="Arial" w:hAnsi="Arial" w:cs="Arial"/>
          <w:bCs/>
          <w:szCs w:val="24"/>
        </w:rPr>
      </w:pPr>
      <w:r w:rsidRPr="00541F5A">
        <w:rPr>
          <w:rFonts w:ascii="Arial" w:hAnsi="Arial" w:cs="Arial"/>
          <w:bCs/>
          <w:szCs w:val="24"/>
        </w:rPr>
        <w:t>“§ 13-2-4  WAIVER OF DISTANCE REQUIREMENT BETWEEN LICENSED PREMISES FOR A LIQUOR LICENSE AND CHURCH OR SCHOOL.</w:t>
      </w:r>
    </w:p>
    <w:p w:rsidR="004119F0" w:rsidRPr="00541F5A" w:rsidRDefault="004119F0" w:rsidP="004119F0">
      <w:pPr>
        <w:pStyle w:val="BodyTextIndent3"/>
        <w:rPr>
          <w:rFonts w:ascii="Arial" w:hAnsi="Arial" w:cs="Arial"/>
          <w:bCs/>
          <w:szCs w:val="24"/>
        </w:rPr>
      </w:pPr>
      <w:r w:rsidRPr="00541F5A">
        <w:rPr>
          <w:rFonts w:ascii="Arial" w:hAnsi="Arial" w:cs="Arial"/>
          <w:bCs/>
          <w:szCs w:val="24"/>
        </w:rPr>
        <w:t>(A)</w:t>
      </w:r>
      <w:r w:rsidRPr="00541F5A">
        <w:rPr>
          <w:rFonts w:ascii="Arial" w:hAnsi="Arial" w:cs="Arial"/>
          <w:bCs/>
          <w:szCs w:val="24"/>
        </w:rPr>
        <w:tab/>
        <w:t>The Council may grant a waiver of the prohibition of a licensed premises within 300 feet of a church or school pursuant to Section 60-6B-10 NMSA 1978, provided:</w:t>
      </w:r>
    </w:p>
    <w:p w:rsidR="004119F0" w:rsidRPr="00541F5A" w:rsidRDefault="004119F0" w:rsidP="004119F0">
      <w:pPr>
        <w:pStyle w:val="BodyTextIndent3"/>
        <w:ind w:left="360" w:firstLine="360"/>
        <w:rPr>
          <w:rFonts w:ascii="Arial" w:hAnsi="Arial" w:cs="Arial"/>
          <w:bCs/>
          <w:szCs w:val="24"/>
        </w:rPr>
      </w:pPr>
      <w:r>
        <w:rPr>
          <w:rFonts w:ascii="Arial" w:hAnsi="Arial" w:cs="Arial"/>
          <w:bCs/>
          <w:szCs w:val="24"/>
        </w:rPr>
        <w:tab/>
      </w:r>
      <w:r w:rsidRPr="00541F5A">
        <w:rPr>
          <w:rFonts w:ascii="Arial" w:hAnsi="Arial" w:cs="Arial"/>
          <w:bCs/>
          <w:szCs w:val="24"/>
        </w:rPr>
        <w:t>(1)</w:t>
      </w:r>
      <w:r w:rsidRPr="00541F5A">
        <w:rPr>
          <w:rFonts w:ascii="Arial" w:hAnsi="Arial" w:cs="Arial"/>
          <w:bCs/>
          <w:szCs w:val="24"/>
        </w:rPr>
        <w:tab/>
        <w:t>In all zones that allow the sale or service of alcoholic beverages, other than the Arts and Entertainmen</w:t>
      </w:r>
      <w:r>
        <w:rPr>
          <w:rFonts w:ascii="Arial" w:hAnsi="Arial" w:cs="Arial"/>
          <w:bCs/>
          <w:szCs w:val="24"/>
        </w:rPr>
        <w:t>t District of the downtown core</w:t>
      </w:r>
      <w:r w:rsidR="00906B7C">
        <w:rPr>
          <w:rFonts w:ascii="Arial" w:hAnsi="Arial" w:cs="Arial"/>
          <w:bCs/>
          <w:szCs w:val="24"/>
        </w:rPr>
        <w:t>[</w:t>
      </w:r>
      <w:r w:rsidR="00906B7C">
        <w:rPr>
          <w:rFonts w:ascii="Arial" w:hAnsi="Arial" w:cs="Arial"/>
          <w:bCs/>
          <w:szCs w:val="24"/>
          <w:u w:val="single"/>
        </w:rPr>
        <w:t>,</w:t>
      </w:r>
      <w:r w:rsidR="00906B7C">
        <w:rPr>
          <w:rFonts w:ascii="Arial" w:hAnsi="Arial" w:cs="Arial"/>
          <w:bCs/>
          <w:szCs w:val="24"/>
        </w:rPr>
        <w:t>]</w:t>
      </w:r>
      <w:r>
        <w:rPr>
          <w:rFonts w:ascii="Arial" w:hAnsi="Arial" w:cs="Arial"/>
          <w:bCs/>
          <w:szCs w:val="24"/>
        </w:rPr>
        <w:t xml:space="preserve"> </w:t>
      </w:r>
      <w:r w:rsidRPr="00541F5A">
        <w:rPr>
          <w:rFonts w:ascii="Arial" w:hAnsi="Arial" w:cs="Arial"/>
          <w:bCs/>
          <w:szCs w:val="24"/>
        </w:rPr>
        <w:t>the waiver is for the op</w:t>
      </w:r>
      <w:r>
        <w:rPr>
          <w:rFonts w:ascii="Arial" w:hAnsi="Arial" w:cs="Arial"/>
          <w:bCs/>
          <w:szCs w:val="24"/>
        </w:rPr>
        <w:t>eration of a restaurant license</w:t>
      </w:r>
      <w:r w:rsidRPr="007033A0">
        <w:rPr>
          <w:rFonts w:ascii="Arial" w:hAnsi="Arial" w:cs="Arial"/>
          <w:bCs/>
          <w:szCs w:val="24"/>
        </w:rPr>
        <w:t>, a small  brewer’s license, or a winegrower’s license</w:t>
      </w:r>
      <w:r w:rsidRPr="00541F5A">
        <w:rPr>
          <w:rFonts w:ascii="Arial" w:hAnsi="Arial" w:cs="Arial"/>
          <w:bCs/>
          <w:szCs w:val="24"/>
        </w:rPr>
        <w:t xml:space="preserve">  as defined in the state Liquor Control Act;</w:t>
      </w:r>
    </w:p>
    <w:p w:rsidR="00906B7C" w:rsidRDefault="004119F0" w:rsidP="00882A73">
      <w:pPr>
        <w:pStyle w:val="BodyTextIndent3"/>
        <w:ind w:left="360" w:firstLine="360"/>
        <w:rPr>
          <w:rFonts w:ascii="Arial" w:hAnsi="Arial" w:cs="Arial"/>
          <w:bCs/>
          <w:szCs w:val="24"/>
        </w:rPr>
      </w:pPr>
      <w:r>
        <w:rPr>
          <w:rFonts w:ascii="Arial" w:hAnsi="Arial" w:cs="Arial"/>
          <w:bCs/>
          <w:szCs w:val="24"/>
        </w:rPr>
        <w:tab/>
      </w:r>
      <w:r w:rsidR="00906B7C">
        <w:rPr>
          <w:rFonts w:ascii="Arial" w:hAnsi="Arial" w:cs="Arial"/>
          <w:bCs/>
          <w:szCs w:val="24"/>
        </w:rPr>
        <w:t>(2)</w:t>
      </w:r>
      <w:r w:rsidR="00906B7C">
        <w:rPr>
          <w:rFonts w:ascii="Arial" w:hAnsi="Arial" w:cs="Arial"/>
          <w:bCs/>
          <w:szCs w:val="24"/>
        </w:rPr>
        <w:tab/>
      </w:r>
      <w:r w:rsidR="00882A73">
        <w:rPr>
          <w:rFonts w:ascii="Arial" w:hAnsi="Arial" w:cs="Arial"/>
          <w:bCs/>
          <w:szCs w:val="24"/>
        </w:rPr>
        <w:t>In t</w:t>
      </w:r>
      <w:r w:rsidRPr="00541F5A">
        <w:rPr>
          <w:rFonts w:ascii="Arial" w:hAnsi="Arial" w:cs="Arial"/>
          <w:bCs/>
          <w:szCs w:val="24"/>
        </w:rPr>
        <w:t>he Arts and Entertainment District of the downtown core as designated in the Downtown 2010 Plan (as adopted in 2000),</w:t>
      </w:r>
      <w:r>
        <w:rPr>
          <w:rFonts w:ascii="Arial" w:hAnsi="Arial" w:cs="Arial"/>
          <w:bCs/>
          <w:szCs w:val="24"/>
        </w:rPr>
        <w:t xml:space="preserve"> </w:t>
      </w:r>
      <w:r w:rsidRPr="00541F5A">
        <w:rPr>
          <w:rFonts w:ascii="Arial" w:hAnsi="Arial" w:cs="Arial"/>
          <w:bCs/>
          <w:szCs w:val="24"/>
        </w:rPr>
        <w:t>a waiver may be requested for the operation of any state license authorized under Chapter 60, Article 6A of the Liquor Control</w:t>
      </w:r>
      <w:r w:rsidR="00906B7C">
        <w:rPr>
          <w:rFonts w:ascii="Arial" w:hAnsi="Arial" w:cs="Arial"/>
          <w:bCs/>
          <w:szCs w:val="24"/>
        </w:rPr>
        <w:t>;</w:t>
      </w:r>
    </w:p>
    <w:p w:rsidR="00906B7C" w:rsidRDefault="00906B7C" w:rsidP="00882A73">
      <w:pPr>
        <w:pStyle w:val="BodyTextIndent3"/>
        <w:ind w:left="360" w:firstLine="360"/>
        <w:rPr>
          <w:rFonts w:ascii="Arial" w:hAnsi="Arial" w:cs="Arial"/>
          <w:bCs/>
          <w:szCs w:val="24"/>
        </w:rPr>
      </w:pPr>
      <w:r>
        <w:rPr>
          <w:rFonts w:ascii="Arial" w:hAnsi="Arial" w:cs="Arial"/>
          <w:bCs/>
          <w:szCs w:val="24"/>
        </w:rPr>
        <w:tab/>
        <w:t>(3)</w:t>
      </w:r>
      <w:r>
        <w:rPr>
          <w:rFonts w:ascii="Arial" w:hAnsi="Arial" w:cs="Arial"/>
          <w:bCs/>
          <w:szCs w:val="24"/>
        </w:rPr>
        <w:tab/>
        <w:t>[</w:t>
      </w:r>
      <w:r>
        <w:rPr>
          <w:rFonts w:ascii="Arial" w:hAnsi="Arial" w:cs="Arial"/>
          <w:bCs/>
          <w:szCs w:val="24"/>
          <w:u w:val="single"/>
        </w:rPr>
        <w:t xml:space="preserve">In all zones that allow the sale or service of alcoholic beverages, where the </w:t>
      </w:r>
      <w:r w:rsidR="00996453">
        <w:rPr>
          <w:rFonts w:ascii="Arial" w:hAnsi="Arial" w:cs="Arial"/>
          <w:bCs/>
          <w:szCs w:val="24"/>
          <w:u w:val="single"/>
        </w:rPr>
        <w:t xml:space="preserve">licenses </w:t>
      </w:r>
      <w:r>
        <w:rPr>
          <w:rFonts w:ascii="Arial" w:hAnsi="Arial" w:cs="Arial"/>
          <w:bCs/>
          <w:szCs w:val="24"/>
          <w:u w:val="single"/>
        </w:rPr>
        <w:t xml:space="preserve">premise is completely </w:t>
      </w:r>
      <w:r w:rsidRPr="00906B7C">
        <w:rPr>
          <w:rFonts w:ascii="Arial" w:hAnsi="Arial" w:cs="Arial"/>
          <w:bCs/>
          <w:szCs w:val="24"/>
          <w:u w:val="single"/>
        </w:rPr>
        <w:t xml:space="preserve">located within 100 feet of Central Avenue between Girard Boulevard and Carlisle Boulevard, a waiver </w:t>
      </w:r>
      <w:r w:rsidRPr="00C93723">
        <w:rPr>
          <w:rFonts w:ascii="Arial" w:hAnsi="Arial" w:cs="Arial"/>
          <w:bCs/>
          <w:szCs w:val="24"/>
          <w:u w:val="single"/>
        </w:rPr>
        <w:t xml:space="preserve">may be requested </w:t>
      </w:r>
      <w:r w:rsidR="002310B6" w:rsidRPr="00C93723">
        <w:rPr>
          <w:color w:val="000000" w:themeColor="text1"/>
          <w:u w:val="single"/>
        </w:rPr>
        <w:t xml:space="preserve">to allow the transfer of an "Inter Local Option District" Dispenser’s License as defined </w:t>
      </w:r>
      <w:r w:rsidR="00C93723" w:rsidRPr="00C93723">
        <w:rPr>
          <w:rFonts w:ascii="Arial" w:hAnsi="Arial" w:cs="Arial"/>
          <w:bCs/>
          <w:szCs w:val="24"/>
          <w:u w:val="single"/>
        </w:rPr>
        <w:t>and regulated under NMSA 1978 § 60-6B-12, the Liquor Control Act;</w:t>
      </w:r>
    </w:p>
    <w:p w:rsidR="00906B7C" w:rsidRDefault="00906B7C" w:rsidP="00882A73">
      <w:pPr>
        <w:pStyle w:val="BodyTextIndent3"/>
        <w:ind w:left="360" w:firstLine="360"/>
        <w:rPr>
          <w:rFonts w:ascii="Arial" w:hAnsi="Arial" w:cs="Arial"/>
          <w:bCs/>
          <w:szCs w:val="24"/>
        </w:rPr>
      </w:pPr>
      <w:r>
        <w:rPr>
          <w:rFonts w:ascii="Arial" w:hAnsi="Arial" w:cs="Arial"/>
          <w:bCs/>
          <w:szCs w:val="24"/>
        </w:rPr>
        <w:tab/>
      </w:r>
      <w:r w:rsidRPr="00906B7C">
        <w:rPr>
          <w:rFonts w:ascii="Arial" w:hAnsi="Arial" w:cs="Arial"/>
          <w:bCs/>
          <w:szCs w:val="24"/>
          <w:u w:val="single"/>
        </w:rPr>
        <w:t>(</w:t>
      </w:r>
      <w:r>
        <w:rPr>
          <w:rFonts w:ascii="Arial" w:hAnsi="Arial" w:cs="Arial"/>
          <w:bCs/>
          <w:szCs w:val="24"/>
          <w:u w:val="single"/>
        </w:rPr>
        <w:t>4</w:t>
      </w:r>
      <w:r w:rsidRPr="00906B7C">
        <w:rPr>
          <w:rFonts w:ascii="Arial" w:hAnsi="Arial" w:cs="Arial"/>
          <w:bCs/>
          <w:szCs w:val="24"/>
          <w:u w:val="single"/>
        </w:rPr>
        <w:t>)</w:t>
      </w:r>
      <w:r>
        <w:rPr>
          <w:rFonts w:ascii="Arial" w:hAnsi="Arial" w:cs="Arial"/>
          <w:bCs/>
          <w:szCs w:val="24"/>
        </w:rPr>
        <w:t>]</w:t>
      </w:r>
      <w:r w:rsidRPr="00906B7C">
        <w:rPr>
          <w:rFonts w:ascii="Arial" w:hAnsi="Arial" w:cs="Arial"/>
          <w:bCs/>
          <w:szCs w:val="24"/>
        </w:rPr>
        <w:tab/>
        <w:t>In all zones that allow the sale or service of alcoholic beverages, where a waiver is required only because of the proposed proximity to a post-secondary educational institution, a waiver may be requested for the operation of any state license authorized under Chapter 60, Article 6A of the Liquor Control Act; and further provided that:</w:t>
      </w:r>
    </w:p>
    <w:p w:rsidR="004119F0" w:rsidRPr="00541F5A" w:rsidRDefault="00906B7C" w:rsidP="004119F0">
      <w:pPr>
        <w:pStyle w:val="BodyTextIndent3"/>
        <w:ind w:left="360" w:firstLine="360"/>
        <w:rPr>
          <w:rFonts w:ascii="Arial" w:hAnsi="Arial" w:cs="Arial"/>
          <w:bCs/>
          <w:szCs w:val="24"/>
        </w:rPr>
      </w:pPr>
      <w:r>
        <w:rPr>
          <w:rFonts w:ascii="Arial" w:hAnsi="Arial" w:cs="Arial"/>
          <w:bCs/>
          <w:szCs w:val="24"/>
        </w:rPr>
        <w:tab/>
      </w:r>
      <w:r w:rsidR="00882A73">
        <w:rPr>
          <w:rFonts w:ascii="Arial" w:hAnsi="Arial" w:cs="Arial"/>
          <w:bCs/>
          <w:szCs w:val="24"/>
        </w:rPr>
        <w:t>[</w:t>
      </w:r>
      <w:r w:rsidR="004119F0" w:rsidRPr="00882A73">
        <w:rPr>
          <w:rFonts w:ascii="Arial" w:hAnsi="Arial" w:cs="Arial"/>
          <w:bCs/>
          <w:strike/>
          <w:szCs w:val="24"/>
        </w:rPr>
        <w:t>(</w:t>
      </w:r>
      <w:r w:rsidRPr="007C0488">
        <w:rPr>
          <w:rFonts w:ascii="Arial" w:hAnsi="Arial"/>
          <w:strike/>
        </w:rPr>
        <w:t>4</w:t>
      </w:r>
      <w:r w:rsidR="004119F0" w:rsidRPr="00882A73">
        <w:rPr>
          <w:rFonts w:ascii="Arial" w:hAnsi="Arial" w:cs="Arial"/>
          <w:bCs/>
          <w:strike/>
          <w:szCs w:val="24"/>
        </w:rPr>
        <w:t>)</w:t>
      </w:r>
      <w:r w:rsidR="00882A73">
        <w:rPr>
          <w:rFonts w:ascii="Arial" w:hAnsi="Arial" w:cs="Arial"/>
          <w:bCs/>
          <w:szCs w:val="24"/>
        </w:rPr>
        <w:t>(</w:t>
      </w:r>
      <w:r>
        <w:rPr>
          <w:rFonts w:ascii="Arial" w:hAnsi="Arial" w:cs="Arial"/>
          <w:bCs/>
          <w:szCs w:val="24"/>
          <w:u w:val="single"/>
        </w:rPr>
        <w:t>5</w:t>
      </w:r>
      <w:r>
        <w:rPr>
          <w:rFonts w:ascii="Arial" w:hAnsi="Arial" w:cs="Arial"/>
          <w:bCs/>
          <w:szCs w:val="24"/>
        </w:rPr>
        <w:t>)</w:t>
      </w:r>
      <w:r w:rsidR="00882A73">
        <w:rPr>
          <w:rFonts w:ascii="Arial" w:hAnsi="Arial" w:cs="Arial"/>
          <w:bCs/>
          <w:szCs w:val="24"/>
        </w:rPr>
        <w:t>]</w:t>
      </w:r>
      <w:r w:rsidR="004119F0" w:rsidRPr="00541F5A">
        <w:rPr>
          <w:rFonts w:ascii="Arial" w:hAnsi="Arial" w:cs="Arial"/>
          <w:bCs/>
          <w:szCs w:val="24"/>
        </w:rPr>
        <w:tab/>
        <w:t>The waiver will not be detrimental to the public health, safety, welfare or morals of the affected neighborhood, including residents;</w:t>
      </w:r>
    </w:p>
    <w:p w:rsidR="004119F0" w:rsidRPr="00541F5A" w:rsidRDefault="004119F0" w:rsidP="004119F0">
      <w:pPr>
        <w:pStyle w:val="BodyTextIndent3"/>
        <w:ind w:left="360" w:firstLine="360"/>
        <w:rPr>
          <w:rFonts w:ascii="Arial" w:hAnsi="Arial" w:cs="Arial"/>
          <w:bCs/>
          <w:szCs w:val="24"/>
        </w:rPr>
      </w:pPr>
      <w:r>
        <w:rPr>
          <w:rFonts w:ascii="Arial" w:hAnsi="Arial" w:cs="Arial"/>
          <w:bCs/>
          <w:szCs w:val="24"/>
        </w:rPr>
        <w:tab/>
      </w:r>
      <w:r w:rsidR="00882A73">
        <w:rPr>
          <w:rFonts w:ascii="Arial" w:hAnsi="Arial" w:cs="Arial"/>
          <w:bCs/>
          <w:szCs w:val="24"/>
        </w:rPr>
        <w:t>[</w:t>
      </w:r>
      <w:r w:rsidR="00906B7C">
        <w:rPr>
          <w:rFonts w:ascii="Arial" w:hAnsi="Arial" w:cs="Arial"/>
          <w:bCs/>
          <w:strike/>
          <w:szCs w:val="24"/>
        </w:rPr>
        <w:t>(</w:t>
      </w:r>
      <w:r w:rsidR="00906B7C" w:rsidRPr="007C0488">
        <w:rPr>
          <w:rFonts w:ascii="Arial" w:hAnsi="Arial"/>
          <w:strike/>
        </w:rPr>
        <w:t>5</w:t>
      </w:r>
      <w:r w:rsidR="00882A73" w:rsidRPr="00882A73">
        <w:rPr>
          <w:rFonts w:ascii="Arial" w:hAnsi="Arial" w:cs="Arial"/>
          <w:bCs/>
          <w:strike/>
          <w:szCs w:val="24"/>
        </w:rPr>
        <w:t>)</w:t>
      </w:r>
      <w:r w:rsidR="00882A73">
        <w:rPr>
          <w:rFonts w:ascii="Arial" w:hAnsi="Arial" w:cs="Arial"/>
          <w:bCs/>
          <w:szCs w:val="24"/>
        </w:rPr>
        <w:t>(</w:t>
      </w:r>
      <w:r w:rsidR="00906B7C">
        <w:rPr>
          <w:rFonts w:ascii="Arial" w:hAnsi="Arial" w:cs="Arial"/>
          <w:bCs/>
          <w:szCs w:val="24"/>
          <w:u w:val="single"/>
        </w:rPr>
        <w:t>6</w:t>
      </w:r>
      <w:r w:rsidR="00906B7C">
        <w:rPr>
          <w:rFonts w:ascii="Arial" w:hAnsi="Arial" w:cs="Arial"/>
          <w:bCs/>
          <w:szCs w:val="24"/>
        </w:rPr>
        <w:t>)</w:t>
      </w:r>
      <w:r w:rsidR="00882A73">
        <w:rPr>
          <w:rFonts w:ascii="Arial" w:hAnsi="Arial" w:cs="Arial"/>
          <w:bCs/>
          <w:szCs w:val="24"/>
        </w:rPr>
        <w:t>]</w:t>
      </w:r>
      <w:r w:rsidRPr="00541F5A">
        <w:rPr>
          <w:rFonts w:ascii="Arial" w:hAnsi="Arial" w:cs="Arial"/>
          <w:bCs/>
          <w:szCs w:val="24"/>
        </w:rPr>
        <w:tab/>
        <w:t>The proposed location for which the waiver is sought will not be within an area where the sale of alcoholic beverages is prohibited by the laws of the state; and</w:t>
      </w:r>
    </w:p>
    <w:p w:rsidR="004119F0" w:rsidRPr="007033A0" w:rsidRDefault="004119F0" w:rsidP="004119F0">
      <w:pPr>
        <w:pStyle w:val="BodyTextIndent3"/>
        <w:ind w:left="360" w:firstLine="360"/>
        <w:rPr>
          <w:rFonts w:ascii="Arial" w:hAnsi="Arial" w:cs="Arial"/>
          <w:bCs/>
          <w:szCs w:val="24"/>
        </w:rPr>
      </w:pPr>
      <w:r>
        <w:rPr>
          <w:rFonts w:ascii="Arial" w:hAnsi="Arial" w:cs="Arial"/>
          <w:bCs/>
          <w:szCs w:val="24"/>
        </w:rPr>
        <w:tab/>
      </w:r>
      <w:r w:rsidR="00882A73">
        <w:rPr>
          <w:rFonts w:ascii="Arial" w:hAnsi="Arial" w:cs="Arial"/>
          <w:bCs/>
          <w:szCs w:val="24"/>
        </w:rPr>
        <w:t>[</w:t>
      </w:r>
      <w:r w:rsidR="00882A73" w:rsidRPr="00882A73">
        <w:rPr>
          <w:rFonts w:ascii="Arial" w:hAnsi="Arial" w:cs="Arial"/>
          <w:bCs/>
          <w:strike/>
          <w:szCs w:val="24"/>
        </w:rPr>
        <w:t>(</w:t>
      </w:r>
      <w:r w:rsidR="00906B7C" w:rsidRPr="007C0488">
        <w:rPr>
          <w:rFonts w:ascii="Arial" w:hAnsi="Arial"/>
          <w:strike/>
        </w:rPr>
        <w:t>6</w:t>
      </w:r>
      <w:r w:rsidR="00882A73" w:rsidRPr="00882A73">
        <w:rPr>
          <w:rFonts w:ascii="Arial" w:hAnsi="Arial" w:cs="Arial"/>
          <w:bCs/>
          <w:strike/>
          <w:szCs w:val="24"/>
        </w:rPr>
        <w:t>)</w:t>
      </w:r>
      <w:r w:rsidR="00882A73">
        <w:rPr>
          <w:rFonts w:ascii="Arial" w:hAnsi="Arial" w:cs="Arial"/>
          <w:bCs/>
          <w:szCs w:val="24"/>
        </w:rPr>
        <w:t>(</w:t>
      </w:r>
      <w:r w:rsidR="00906B7C">
        <w:rPr>
          <w:rFonts w:ascii="Arial" w:hAnsi="Arial" w:cs="Arial"/>
          <w:bCs/>
          <w:szCs w:val="24"/>
          <w:u w:val="single"/>
        </w:rPr>
        <w:t>7</w:t>
      </w:r>
      <w:r w:rsidR="00906B7C">
        <w:rPr>
          <w:rFonts w:ascii="Arial" w:hAnsi="Arial" w:cs="Arial"/>
          <w:bCs/>
          <w:szCs w:val="24"/>
        </w:rPr>
        <w:t>)</w:t>
      </w:r>
      <w:r w:rsidR="00882A73">
        <w:rPr>
          <w:rFonts w:ascii="Arial" w:hAnsi="Arial" w:cs="Arial"/>
          <w:bCs/>
          <w:szCs w:val="24"/>
        </w:rPr>
        <w:t>]</w:t>
      </w:r>
      <w:r w:rsidRPr="00541F5A">
        <w:rPr>
          <w:rFonts w:ascii="Arial" w:hAnsi="Arial" w:cs="Arial"/>
          <w:bCs/>
          <w:szCs w:val="24"/>
        </w:rPr>
        <w:tab/>
        <w:t>The issuance or transfer for which the waiver is sought will not be in violation of a zoning or other ordinance of the city.”</w:t>
      </w:r>
    </w:p>
    <w:p w:rsidR="004119F0" w:rsidRPr="00541F5A" w:rsidRDefault="004119F0" w:rsidP="004119F0">
      <w:pPr>
        <w:pStyle w:val="BodyTextIndent3"/>
        <w:rPr>
          <w:rFonts w:ascii="Arial" w:hAnsi="Arial" w:cs="Arial"/>
          <w:bCs/>
          <w:szCs w:val="24"/>
        </w:rPr>
      </w:pPr>
      <w:r w:rsidRPr="00541F5A">
        <w:rPr>
          <w:rFonts w:ascii="Arial" w:hAnsi="Arial" w:cs="Arial"/>
          <w:bCs/>
          <w:szCs w:val="24"/>
        </w:rPr>
        <w:t>SECTION 4.</w:t>
      </w:r>
      <w:r w:rsidRPr="00541F5A">
        <w:rPr>
          <w:rFonts w:ascii="Arial" w:hAnsi="Arial" w:cs="Arial"/>
          <w:bCs/>
          <w:szCs w:val="24"/>
        </w:rPr>
        <w:tab/>
        <w:t xml:space="preserve">  SEVERABILITY CLAUSE.  If any section, paragraph, sentence, clause, word or phrase of this ordinance is for any reason held to be invalid or unenforceable by any court of competent jurisdiction, such decision shall not affect the validity of the remaining provisions of this resolution.  The Council hereby declares that it would have passed this resolution and each section, paragraph, sentence, clause, word or phrase thereof irrespective of any provisions being declared unconstitutional or otherwise invalid.</w:t>
      </w:r>
    </w:p>
    <w:p w:rsidR="004119F0" w:rsidRPr="00541F5A" w:rsidRDefault="004119F0" w:rsidP="004119F0">
      <w:pPr>
        <w:pStyle w:val="BodyTextIndent3"/>
        <w:rPr>
          <w:rFonts w:ascii="Arial" w:hAnsi="Arial" w:cs="Arial"/>
          <w:bCs/>
          <w:szCs w:val="24"/>
        </w:rPr>
      </w:pPr>
      <w:r w:rsidRPr="00541F5A">
        <w:rPr>
          <w:rFonts w:ascii="Arial" w:hAnsi="Arial" w:cs="Arial"/>
          <w:bCs/>
          <w:szCs w:val="24"/>
        </w:rPr>
        <w:t>SECTION 5</w:t>
      </w:r>
      <w:r>
        <w:rPr>
          <w:rFonts w:ascii="Arial" w:hAnsi="Arial" w:cs="Arial"/>
          <w:bCs/>
          <w:szCs w:val="24"/>
        </w:rPr>
        <w:t>.</w:t>
      </w:r>
      <w:r>
        <w:rPr>
          <w:rFonts w:ascii="Arial" w:hAnsi="Arial" w:cs="Arial"/>
          <w:bCs/>
          <w:szCs w:val="24"/>
        </w:rPr>
        <w:tab/>
        <w:t xml:space="preserve"> COMPILATION.   </w:t>
      </w:r>
      <w:r w:rsidRPr="00541F5A">
        <w:rPr>
          <w:rFonts w:ascii="Arial" w:hAnsi="Arial" w:cs="Arial"/>
          <w:bCs/>
          <w:szCs w:val="24"/>
        </w:rPr>
        <w:t>Section 2 and 3 of this ordinance shall amend, be incorporated in and made part of the Revised Ordinances of Albuquerque, New Mexico, 1994.</w:t>
      </w:r>
    </w:p>
    <w:p w:rsidR="004119F0" w:rsidRDefault="004119F0" w:rsidP="004119F0">
      <w:pPr>
        <w:pStyle w:val="BodyTextIndent3"/>
        <w:rPr>
          <w:rFonts w:ascii="Arial" w:hAnsi="Arial" w:cs="Arial"/>
          <w:bCs/>
          <w:szCs w:val="24"/>
        </w:rPr>
      </w:pPr>
      <w:r w:rsidRPr="00541F5A">
        <w:rPr>
          <w:rFonts w:ascii="Arial" w:hAnsi="Arial" w:cs="Arial"/>
          <w:bCs/>
          <w:szCs w:val="24"/>
        </w:rPr>
        <w:t>SECTION 6</w:t>
      </w:r>
      <w:r>
        <w:rPr>
          <w:rFonts w:ascii="Arial" w:hAnsi="Arial" w:cs="Arial"/>
          <w:bCs/>
          <w:szCs w:val="24"/>
        </w:rPr>
        <w:t>.</w:t>
      </w:r>
      <w:r>
        <w:rPr>
          <w:rFonts w:ascii="Arial" w:hAnsi="Arial" w:cs="Arial"/>
          <w:bCs/>
          <w:szCs w:val="24"/>
        </w:rPr>
        <w:tab/>
        <w:t xml:space="preserve"> EFFECTIVE DATE.   </w:t>
      </w:r>
      <w:r w:rsidRPr="00541F5A">
        <w:rPr>
          <w:rFonts w:ascii="Arial" w:hAnsi="Arial" w:cs="Arial"/>
          <w:bCs/>
          <w:szCs w:val="24"/>
        </w:rPr>
        <w:t xml:space="preserve">This ordinance shall take effect five days after publication by title and general summary. </w:t>
      </w:r>
    </w:p>
    <w:p w:rsidR="004119F0" w:rsidRDefault="004119F0" w:rsidP="004119F0">
      <w:pPr>
        <w:pStyle w:val="BodyTextIndent"/>
      </w:pPr>
    </w:p>
    <w:p w:rsidR="004119F0" w:rsidRDefault="004119F0" w:rsidP="004119F0">
      <w:pPr>
        <w:pStyle w:val="BodyTextIndent"/>
      </w:pPr>
    </w:p>
    <w:p w:rsidR="009755E1" w:rsidRPr="009755E1" w:rsidRDefault="009755E1">
      <w:pPr>
        <w:spacing w:line="360" w:lineRule="auto"/>
        <w:ind w:left="360"/>
        <w:jc w:val="center"/>
        <w:rPr>
          <w:rFonts w:ascii="Arial" w:hAnsi="Arial" w:cs="Arial"/>
        </w:rPr>
      </w:pPr>
    </w:p>
    <w:sectPr w:rsidR="009755E1" w:rsidRPr="009755E1" w:rsidSect="008E0441">
      <w:headerReference w:type="default" r:id="rId7"/>
      <w:footerReference w:type="even" r:id="rId8"/>
      <w:footerReference w:type="default" r:id="rId9"/>
      <w:pgSz w:w="12240" w:h="15840" w:code="1"/>
      <w:pgMar w:top="1080" w:right="1080" w:bottom="1080" w:left="1800" w:header="720" w:footer="720" w:gutter="0"/>
      <w:lnNumType w:countBy="1" w:distance="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364" w:rsidRDefault="00F81364">
      <w:r>
        <w:separator/>
      </w:r>
    </w:p>
  </w:endnote>
  <w:endnote w:type="continuationSeparator" w:id="0">
    <w:p w:rsidR="00F81364" w:rsidRDefault="00F81364">
      <w:r>
        <w:continuationSeparator/>
      </w:r>
    </w:p>
  </w:endnote>
  <w:endnote w:type="continuationNotice" w:id="1">
    <w:p w:rsidR="00F81364" w:rsidRDefault="00F8136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2D" w:rsidRDefault="003E1B2D">
    <w:pPr>
      <w:pStyle w:val="Footer"/>
      <w:framePr w:wrap="around" w:vAnchor="text" w:hAnchor="margin" w:xAlign="center" w:y="1"/>
      <w:rPr>
        <w:rStyle w:val="PageNumber"/>
      </w:rPr>
    </w:pPr>
    <w:r>
      <w:rPr>
        <w:rStyle w:val="PageNumber"/>
      </w:rPr>
      <w:fldChar w:fldCharType="begin"/>
    </w:r>
    <w:r w:rsidR="0075772D">
      <w:rPr>
        <w:rStyle w:val="PageNumber"/>
      </w:rPr>
      <w:instrText xml:space="preserve">PAGE  </w:instrText>
    </w:r>
    <w:r>
      <w:rPr>
        <w:rStyle w:val="PageNumber"/>
      </w:rPr>
      <w:fldChar w:fldCharType="end"/>
    </w:r>
  </w:p>
  <w:p w:rsidR="0075772D" w:rsidRDefault="00757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2D" w:rsidRDefault="003E1B2D">
    <w:pPr>
      <w:pStyle w:val="Footer"/>
      <w:framePr w:wrap="around" w:vAnchor="text" w:hAnchor="margin" w:xAlign="center" w:y="1"/>
      <w:rPr>
        <w:rStyle w:val="PageNumber"/>
      </w:rPr>
    </w:pPr>
    <w:r>
      <w:rPr>
        <w:rStyle w:val="PageNumber"/>
      </w:rPr>
      <w:fldChar w:fldCharType="begin"/>
    </w:r>
    <w:r w:rsidR="0075772D">
      <w:rPr>
        <w:rStyle w:val="PageNumber"/>
      </w:rPr>
      <w:instrText xml:space="preserve">PAGE  </w:instrText>
    </w:r>
    <w:r>
      <w:rPr>
        <w:rStyle w:val="PageNumber"/>
      </w:rPr>
      <w:fldChar w:fldCharType="separate"/>
    </w:r>
    <w:r w:rsidR="00F81364">
      <w:rPr>
        <w:rStyle w:val="PageNumber"/>
        <w:noProof/>
      </w:rPr>
      <w:t>1</w:t>
    </w:r>
    <w:r>
      <w:rPr>
        <w:rStyle w:val="PageNumber"/>
      </w:rPr>
      <w:fldChar w:fldCharType="end"/>
    </w:r>
  </w:p>
  <w:p w:rsidR="0075772D" w:rsidRDefault="007577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364" w:rsidRDefault="00F81364">
      <w:r>
        <w:separator/>
      </w:r>
    </w:p>
  </w:footnote>
  <w:footnote w:type="continuationSeparator" w:id="0">
    <w:p w:rsidR="00F81364" w:rsidRDefault="00F81364">
      <w:r>
        <w:continuationSeparator/>
      </w:r>
    </w:p>
  </w:footnote>
  <w:footnote w:type="continuationNotice" w:id="1">
    <w:p w:rsidR="00F81364" w:rsidRDefault="00F8136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2D" w:rsidRDefault="003E1B2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v:rect id="Rectangle 1" o:spid="_x0000_s2051" style="position:absolute;margin-left:43.2pt;margin-top:374.4pt;width:28.8pt;height:306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" o:allowincell="f" filled="f" stroked="f" strokeweight="0">
          <v:textbox style="layout-flow:vertical;mso-layout-flow-alt:bottom-to-top" inset="0,0,0,0">
            <w:txbxContent>
              <w:p w:rsidR="0075772D" w:rsidRDefault="0075772D">
                <w:pPr>
                  <w:pBdr>
                    <w:top w:val="single" w:sz="6" w:space="0" w:color="FFFFFF"/>
                    <w:left w:val="single" w:sz="6" w:space="0" w:color="FFFFFF"/>
                    <w:bottom w:val="single" w:sz="6" w:space="0" w:color="FFFFFF"/>
                    <w:right w:val="single" w:sz="6" w:space="0" w:color="FFFFFF"/>
                  </w:pBdr>
                  <w:tabs>
                    <w:tab w:val="center" w:pos="300"/>
                  </w:tabs>
                  <w:jc w:val="center"/>
                  <w:rPr>
                    <w:b w:val="0"/>
                  </w:rPr>
                </w:pPr>
                <w:r>
                  <w:rPr>
                    <w:b w:val="0"/>
                  </w:rPr>
                  <w:t>[</w:t>
                </w:r>
                <w:r>
                  <w:rPr>
                    <w:b w:val="0"/>
                    <w:u w:val="single"/>
                  </w:rPr>
                  <w:t>Bracketed/Underscored Material</w:t>
                </w:r>
                <w:r>
                  <w:rPr>
                    <w:b w:val="0"/>
                  </w:rPr>
                  <w:t>] - New</w:t>
                </w:r>
              </w:p>
              <w:p w:rsidR="0075772D" w:rsidRDefault="0075772D">
                <w:pPr>
                  <w:pBdr>
                    <w:top w:val="single" w:sz="6" w:space="0" w:color="FFFFFF"/>
                    <w:left w:val="single" w:sz="6" w:space="0" w:color="FFFFFF"/>
                    <w:bottom w:val="single" w:sz="6" w:space="0" w:color="FFFFFF"/>
                    <w:right w:val="single" w:sz="6" w:space="0" w:color="FFFFFF"/>
                  </w:pBdr>
                  <w:tabs>
                    <w:tab w:val="center" w:pos="300"/>
                  </w:tabs>
                  <w:jc w:val="center"/>
                  <w:rPr>
                    <w:b w:val="0"/>
                  </w:rPr>
                </w:pPr>
                <w:r>
                  <w:rPr>
                    <w:b w:val="0"/>
                  </w:rPr>
                  <w:t>[</w:t>
                </w:r>
                <w:r>
                  <w:rPr>
                    <w:b w:val="0"/>
                    <w:strike/>
                  </w:rPr>
                  <w:t>Bracketed/Strikethrough Material</w:t>
                </w:r>
                <w:r>
                  <w:rPr>
                    <w:b w:val="0"/>
                  </w:rPr>
                  <w:t>] - Deletion</w:t>
                </w:r>
              </w:p>
              <w:p w:rsidR="0075772D" w:rsidRDefault="0075772D">
                <w:pPr>
                  <w:pBdr>
                    <w:top w:val="single" w:sz="6" w:space="0" w:color="FFFFFF"/>
                    <w:left w:val="single" w:sz="6" w:space="0" w:color="FFFFFF"/>
                    <w:bottom w:val="single" w:sz="6" w:space="0" w:color="FFFFFF"/>
                    <w:right w:val="single" w:sz="6" w:space="0" w:color="FFFFFF"/>
                  </w:pBdr>
                  <w:tabs>
                    <w:tab w:val="center" w:pos="300"/>
                  </w:tabs>
                  <w:jc w:val="center"/>
                  <w:rPr>
                    <w:b w:val="0"/>
                  </w:rPr>
                </w:pPr>
              </w:p>
            </w:txbxContent>
          </v:textbox>
          <w10:wrap anchorx="page" anchory="page"/>
          <w10:anchorlock/>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6146"/>
    <o:shapelayout v:ext="edit">
      <o:idmap v:ext="edit" data="2"/>
    </o:shapelayout>
  </w:hdrShapeDefaults>
  <w:footnotePr>
    <w:footnote w:id="-1"/>
    <w:footnote w:id="0"/>
    <w:footnote w:id="1"/>
  </w:footnotePr>
  <w:endnotePr>
    <w:endnote w:id="-1"/>
    <w:endnote w:id="0"/>
    <w:endnote w:id="1"/>
  </w:endnotePr>
  <w:compat/>
  <w:rsids>
    <w:rsidRoot w:val="004119F0"/>
    <w:rsid w:val="00004BFD"/>
    <w:rsid w:val="00005B2B"/>
    <w:rsid w:val="000213A8"/>
    <w:rsid w:val="00041430"/>
    <w:rsid w:val="0005478A"/>
    <w:rsid w:val="00065D24"/>
    <w:rsid w:val="00084809"/>
    <w:rsid w:val="000951FE"/>
    <w:rsid w:val="000A1259"/>
    <w:rsid w:val="000B0C0B"/>
    <w:rsid w:val="000B6A91"/>
    <w:rsid w:val="000E1454"/>
    <w:rsid w:val="000E217D"/>
    <w:rsid w:val="000E23D4"/>
    <w:rsid w:val="0010119E"/>
    <w:rsid w:val="00152915"/>
    <w:rsid w:val="00160051"/>
    <w:rsid w:val="00183700"/>
    <w:rsid w:val="0019173D"/>
    <w:rsid w:val="001957DA"/>
    <w:rsid w:val="001A27DB"/>
    <w:rsid w:val="001E1125"/>
    <w:rsid w:val="001E7C5D"/>
    <w:rsid w:val="001F56D1"/>
    <w:rsid w:val="00200058"/>
    <w:rsid w:val="002028CF"/>
    <w:rsid w:val="00207516"/>
    <w:rsid w:val="00212833"/>
    <w:rsid w:val="002167F9"/>
    <w:rsid w:val="002310B6"/>
    <w:rsid w:val="0025278C"/>
    <w:rsid w:val="002601DA"/>
    <w:rsid w:val="002B6EE4"/>
    <w:rsid w:val="002B70FD"/>
    <w:rsid w:val="002D7C7D"/>
    <w:rsid w:val="002E3FDB"/>
    <w:rsid w:val="00320B6E"/>
    <w:rsid w:val="00331F53"/>
    <w:rsid w:val="00336267"/>
    <w:rsid w:val="00355EE5"/>
    <w:rsid w:val="0036323D"/>
    <w:rsid w:val="003779BD"/>
    <w:rsid w:val="003A3C4E"/>
    <w:rsid w:val="003B138C"/>
    <w:rsid w:val="003D2DB2"/>
    <w:rsid w:val="003E1B2D"/>
    <w:rsid w:val="004119F0"/>
    <w:rsid w:val="004631DE"/>
    <w:rsid w:val="004F292A"/>
    <w:rsid w:val="00503F9B"/>
    <w:rsid w:val="005077F1"/>
    <w:rsid w:val="00522644"/>
    <w:rsid w:val="0057451F"/>
    <w:rsid w:val="005B2DB7"/>
    <w:rsid w:val="005E4630"/>
    <w:rsid w:val="005F357C"/>
    <w:rsid w:val="005F411B"/>
    <w:rsid w:val="005F4F61"/>
    <w:rsid w:val="00603FFF"/>
    <w:rsid w:val="00604B02"/>
    <w:rsid w:val="00607293"/>
    <w:rsid w:val="0061003C"/>
    <w:rsid w:val="0061103C"/>
    <w:rsid w:val="006236AD"/>
    <w:rsid w:val="0065208C"/>
    <w:rsid w:val="00665BDC"/>
    <w:rsid w:val="00666E1B"/>
    <w:rsid w:val="0068771B"/>
    <w:rsid w:val="00694C53"/>
    <w:rsid w:val="00696AAB"/>
    <w:rsid w:val="006B18F5"/>
    <w:rsid w:val="006D50BF"/>
    <w:rsid w:val="006E11F9"/>
    <w:rsid w:val="006E7F40"/>
    <w:rsid w:val="00705366"/>
    <w:rsid w:val="0075772D"/>
    <w:rsid w:val="00773C0D"/>
    <w:rsid w:val="007A6504"/>
    <w:rsid w:val="007C0488"/>
    <w:rsid w:val="00813255"/>
    <w:rsid w:val="008202C9"/>
    <w:rsid w:val="00882A73"/>
    <w:rsid w:val="008D0A19"/>
    <w:rsid w:val="008E0441"/>
    <w:rsid w:val="008F7864"/>
    <w:rsid w:val="009054E2"/>
    <w:rsid w:val="00906B7C"/>
    <w:rsid w:val="0095123A"/>
    <w:rsid w:val="009755E1"/>
    <w:rsid w:val="00976077"/>
    <w:rsid w:val="009839CF"/>
    <w:rsid w:val="00996453"/>
    <w:rsid w:val="009A1310"/>
    <w:rsid w:val="009A6882"/>
    <w:rsid w:val="009C2F53"/>
    <w:rsid w:val="009C73A7"/>
    <w:rsid w:val="009D1C28"/>
    <w:rsid w:val="009F6915"/>
    <w:rsid w:val="00A66E58"/>
    <w:rsid w:val="00A756B7"/>
    <w:rsid w:val="00A87933"/>
    <w:rsid w:val="00AC66D8"/>
    <w:rsid w:val="00AE621C"/>
    <w:rsid w:val="00B100CA"/>
    <w:rsid w:val="00B17674"/>
    <w:rsid w:val="00B20959"/>
    <w:rsid w:val="00B32687"/>
    <w:rsid w:val="00B36FBC"/>
    <w:rsid w:val="00B72E78"/>
    <w:rsid w:val="00B80727"/>
    <w:rsid w:val="00BF39E6"/>
    <w:rsid w:val="00BF4B11"/>
    <w:rsid w:val="00C22BDC"/>
    <w:rsid w:val="00C237E7"/>
    <w:rsid w:val="00C90205"/>
    <w:rsid w:val="00C93723"/>
    <w:rsid w:val="00CC0FEF"/>
    <w:rsid w:val="00CD63CB"/>
    <w:rsid w:val="00CD6EC6"/>
    <w:rsid w:val="00CF0A5E"/>
    <w:rsid w:val="00D20666"/>
    <w:rsid w:val="00D37E16"/>
    <w:rsid w:val="00D44306"/>
    <w:rsid w:val="00D52504"/>
    <w:rsid w:val="00D548E5"/>
    <w:rsid w:val="00D66B79"/>
    <w:rsid w:val="00D705EF"/>
    <w:rsid w:val="00D724BC"/>
    <w:rsid w:val="00DB0326"/>
    <w:rsid w:val="00DB545E"/>
    <w:rsid w:val="00DD2243"/>
    <w:rsid w:val="00DE1361"/>
    <w:rsid w:val="00E713A6"/>
    <w:rsid w:val="00E860EA"/>
    <w:rsid w:val="00EA3C7E"/>
    <w:rsid w:val="00EB4FEA"/>
    <w:rsid w:val="00ED69F7"/>
    <w:rsid w:val="00F20E69"/>
    <w:rsid w:val="00F21579"/>
    <w:rsid w:val="00F30446"/>
    <w:rsid w:val="00F33F5B"/>
    <w:rsid w:val="00F46D79"/>
    <w:rsid w:val="00F52355"/>
    <w:rsid w:val="00F61939"/>
    <w:rsid w:val="00F81364"/>
    <w:rsid w:val="00F940C1"/>
    <w:rsid w:val="00FA2A75"/>
    <w:rsid w:val="00FB4439"/>
    <w:rsid w:val="00FC2212"/>
    <w:rsid w:val="00FD1EAF"/>
    <w:rsid w:val="00FE53CC"/>
    <w:rsid w:val="00FF4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441"/>
    <w:rPr>
      <w:rFonts w:ascii="Univers" w:hAnsi="Univers"/>
      <w:b/>
      <w:sz w:val="24"/>
    </w:rPr>
  </w:style>
  <w:style w:type="paragraph" w:styleId="Heading1">
    <w:name w:val="heading 1"/>
    <w:basedOn w:val="Normal"/>
    <w:next w:val="Normal"/>
    <w:qFormat/>
    <w:rsid w:val="008E0441"/>
    <w:pPr>
      <w:keepNext/>
      <w:tabs>
        <w:tab w:val="left" w:pos="0"/>
      </w:tabs>
      <w:suppressAutoHyphens/>
      <w:jc w:val="center"/>
      <w:outlineLvl w:val="0"/>
    </w:pPr>
    <w:rPr>
      <w:sz w:val="44"/>
    </w:rPr>
  </w:style>
  <w:style w:type="paragraph" w:styleId="Heading2">
    <w:name w:val="heading 2"/>
    <w:basedOn w:val="Normal"/>
    <w:next w:val="Normal"/>
    <w:qFormat/>
    <w:rsid w:val="008E0441"/>
    <w:pPr>
      <w:keepNext/>
      <w:suppressLineNumbers/>
      <w:tabs>
        <w:tab w:val="left" w:pos="0"/>
      </w:tabs>
      <w:suppressAutoHyphens/>
      <w:ind w:right="-720" w:hanging="720"/>
      <w:jc w:val="center"/>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8E0441"/>
  </w:style>
  <w:style w:type="paragraph" w:styleId="Header">
    <w:name w:val="header"/>
    <w:basedOn w:val="Normal"/>
    <w:rsid w:val="008E0441"/>
    <w:pPr>
      <w:tabs>
        <w:tab w:val="center" w:pos="4320"/>
        <w:tab w:val="right" w:pos="8640"/>
      </w:tabs>
    </w:pPr>
  </w:style>
  <w:style w:type="paragraph" w:styleId="Footer">
    <w:name w:val="footer"/>
    <w:basedOn w:val="Normal"/>
    <w:rsid w:val="008E0441"/>
    <w:pPr>
      <w:tabs>
        <w:tab w:val="center" w:pos="4320"/>
        <w:tab w:val="right" w:pos="8640"/>
      </w:tabs>
    </w:pPr>
  </w:style>
  <w:style w:type="character" w:styleId="PageNumber">
    <w:name w:val="page number"/>
    <w:basedOn w:val="DefaultParagraphFont"/>
    <w:rsid w:val="008E0441"/>
  </w:style>
  <w:style w:type="paragraph" w:styleId="BodyTextIndent">
    <w:name w:val="Body Text Indent"/>
    <w:basedOn w:val="Normal"/>
    <w:rsid w:val="008E0441"/>
    <w:pPr>
      <w:spacing w:line="360" w:lineRule="auto"/>
      <w:ind w:left="360"/>
    </w:pPr>
  </w:style>
  <w:style w:type="paragraph" w:styleId="BalloonText">
    <w:name w:val="Balloon Text"/>
    <w:basedOn w:val="Normal"/>
    <w:semiHidden/>
    <w:rsid w:val="00EB4FEA"/>
    <w:rPr>
      <w:rFonts w:ascii="Tahoma" w:hAnsi="Tahoma" w:cs="Tahoma"/>
      <w:sz w:val="16"/>
      <w:szCs w:val="16"/>
    </w:rPr>
  </w:style>
  <w:style w:type="paragraph" w:styleId="BodyTextIndent2">
    <w:name w:val="Body Text Indent 2"/>
    <w:basedOn w:val="Normal"/>
    <w:link w:val="BodyTextIndent2Char"/>
    <w:semiHidden/>
    <w:rsid w:val="004119F0"/>
    <w:pPr>
      <w:tabs>
        <w:tab w:val="left" w:pos="-540"/>
      </w:tabs>
      <w:spacing w:line="360" w:lineRule="auto"/>
      <w:ind w:left="360" w:firstLine="1080"/>
      <w:jc w:val="both"/>
    </w:pPr>
  </w:style>
  <w:style w:type="character" w:customStyle="1" w:styleId="BodyTextIndent2Char">
    <w:name w:val="Body Text Indent 2 Char"/>
    <w:basedOn w:val="DefaultParagraphFont"/>
    <w:link w:val="BodyTextIndent2"/>
    <w:semiHidden/>
    <w:rsid w:val="004119F0"/>
    <w:rPr>
      <w:rFonts w:ascii="Univers" w:hAnsi="Univers"/>
      <w:b/>
      <w:sz w:val="24"/>
    </w:rPr>
  </w:style>
  <w:style w:type="paragraph" w:styleId="BodyTextIndent3">
    <w:name w:val="Body Text Indent 3"/>
    <w:basedOn w:val="Normal"/>
    <w:link w:val="BodyTextIndent3Char"/>
    <w:semiHidden/>
    <w:rsid w:val="004119F0"/>
    <w:pPr>
      <w:spacing w:line="360" w:lineRule="auto"/>
      <w:ind w:left="385" w:firstLine="335"/>
    </w:pPr>
  </w:style>
  <w:style w:type="character" w:customStyle="1" w:styleId="BodyTextIndent3Char">
    <w:name w:val="Body Text Indent 3 Char"/>
    <w:basedOn w:val="DefaultParagraphFont"/>
    <w:link w:val="BodyTextIndent3"/>
    <w:semiHidden/>
    <w:rsid w:val="004119F0"/>
    <w:rPr>
      <w:rFonts w:ascii="Univers" w:hAnsi="Univers"/>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atw\Desktop\21st%20Council%20Bil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7B192-808E-4481-8AA0-EE79B708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21st Council Bill Template</Template>
  <TotalTime>258</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City of Albuquerque Bill Template</vt:lpstr>
    </vt:vector>
  </TitlesOfParts>
  <Company>City of Albuquerque/Council Services</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Albuquerque Bill Template</dc:title>
  <dc:creator>Webb, Andrew</dc:creator>
  <cp:lastModifiedBy>Ron</cp:lastModifiedBy>
  <cp:revision>5</cp:revision>
  <cp:lastPrinted>2016-09-23T13:04:00Z</cp:lastPrinted>
  <dcterms:created xsi:type="dcterms:W3CDTF">2016-09-12T20:44:00Z</dcterms:created>
  <dcterms:modified xsi:type="dcterms:W3CDTF">2016-09-24T18:56:00Z</dcterms:modified>
</cp:coreProperties>
</file>