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F9" w:rsidRDefault="008C18F9" w:rsidP="00537EC9">
      <w:pPr>
        <w:shd w:val="clear" w:color="auto" w:fill="FFFFFF"/>
        <w:jc w:val="center"/>
        <w:rPr>
          <w:rFonts w:ascii="Arial" w:eastAsia="Times New Roman" w:hAnsi="Arial" w:cs="Arial"/>
          <w:b/>
          <w:i/>
          <w:color w:val="000000"/>
          <w:sz w:val="28"/>
          <w:szCs w:val="28"/>
        </w:rPr>
      </w:pPr>
      <w:bookmarkStart w:id="0" w:name="OLE_LINK1"/>
      <w:r>
        <w:rPr>
          <w:rFonts w:ascii="Arial" w:eastAsia="Times New Roman" w:hAnsi="Arial" w:cs="Arial"/>
          <w:b/>
          <w:i/>
          <w:color w:val="000000"/>
          <w:sz w:val="28"/>
          <w:szCs w:val="28"/>
        </w:rPr>
        <w:t>Nob Hill Neighborhood Association</w:t>
      </w:r>
    </w:p>
    <w:p w:rsidR="008C18F9" w:rsidRDefault="008C18F9" w:rsidP="00537EC9">
      <w:pPr>
        <w:shd w:val="clear" w:color="auto" w:fill="FFFFFF"/>
        <w:jc w:val="center"/>
        <w:rPr>
          <w:rFonts w:ascii="Arial" w:eastAsia="Times New Roman" w:hAnsi="Arial" w:cs="Arial"/>
          <w:b/>
          <w:i/>
          <w:color w:val="000000"/>
          <w:sz w:val="28"/>
          <w:szCs w:val="28"/>
        </w:rPr>
      </w:pPr>
      <w:r>
        <w:rPr>
          <w:rFonts w:ascii="Arial" w:eastAsia="Times New Roman" w:hAnsi="Arial" w:cs="Arial"/>
          <w:b/>
          <w:i/>
          <w:color w:val="000000"/>
          <w:sz w:val="28"/>
          <w:szCs w:val="28"/>
        </w:rPr>
        <w:t>Statement of Position</w:t>
      </w:r>
    </w:p>
    <w:p w:rsidR="00C94C6F" w:rsidRPr="00537EC9" w:rsidRDefault="008C18F9" w:rsidP="002C65C6">
      <w:pPr>
        <w:shd w:val="clear" w:color="auto" w:fill="FFFFFF"/>
        <w:jc w:val="center"/>
        <w:rPr>
          <w:rFonts w:ascii="Arial" w:eastAsia="Times New Roman" w:hAnsi="Arial" w:cs="Arial"/>
          <w:b/>
          <w:i/>
          <w:color w:val="000000"/>
          <w:sz w:val="28"/>
          <w:szCs w:val="28"/>
        </w:rPr>
      </w:pPr>
      <w:r>
        <w:rPr>
          <w:rFonts w:ascii="Arial" w:eastAsia="Times New Roman" w:hAnsi="Arial" w:cs="Arial"/>
          <w:b/>
          <w:i/>
          <w:color w:val="000000"/>
          <w:sz w:val="28"/>
          <w:szCs w:val="28"/>
        </w:rPr>
        <w:t xml:space="preserve">August </w:t>
      </w:r>
      <w:r w:rsidR="002C65C6">
        <w:rPr>
          <w:rFonts w:ascii="Arial" w:eastAsia="Times New Roman" w:hAnsi="Arial" w:cs="Arial"/>
          <w:b/>
          <w:i/>
          <w:color w:val="000000"/>
          <w:sz w:val="28"/>
          <w:szCs w:val="28"/>
        </w:rPr>
        <w:t>9</w:t>
      </w:r>
      <w:r>
        <w:rPr>
          <w:rFonts w:ascii="Arial" w:eastAsia="Times New Roman" w:hAnsi="Arial" w:cs="Arial"/>
          <w:b/>
          <w:i/>
          <w:color w:val="000000"/>
          <w:sz w:val="28"/>
          <w:szCs w:val="28"/>
        </w:rPr>
        <w:t>, 2017</w:t>
      </w:r>
    </w:p>
    <w:p w:rsidR="00D7435F" w:rsidRDefault="00D7435F" w:rsidP="00C94C6F">
      <w:pPr>
        <w:shd w:val="clear" w:color="auto" w:fill="FFFFFF"/>
        <w:rPr>
          <w:rFonts w:ascii="Arial" w:eastAsia="Times New Roman" w:hAnsi="Arial" w:cs="Arial"/>
          <w:b/>
          <w:i/>
          <w:color w:val="000000"/>
        </w:rPr>
      </w:pPr>
    </w:p>
    <w:p w:rsidR="00113E52" w:rsidRPr="00F000AF" w:rsidRDefault="009E3A07" w:rsidP="00113E52">
      <w:pPr>
        <w:shd w:val="clear" w:color="auto" w:fill="FFFFFF"/>
        <w:rPr>
          <w:rStyle w:val="Hyperlink"/>
          <w:rFonts w:asciiTheme="minorHAnsi" w:eastAsia="Times New Roman" w:hAnsiTheme="minorHAnsi" w:cs="Arial"/>
          <w:color w:val="000000"/>
          <w:u w:val="none"/>
        </w:rPr>
      </w:pPr>
      <w:r w:rsidRPr="00F000AF">
        <w:rPr>
          <w:rFonts w:asciiTheme="minorHAnsi" w:eastAsia="Times New Roman" w:hAnsiTheme="minorHAnsi" w:cs="Arial"/>
          <w:color w:val="000000"/>
        </w:rPr>
        <w:t xml:space="preserve">Submitted to Clerk of the Council </w:t>
      </w:r>
      <w:hyperlink r:id="rId7" w:history="1">
        <w:r w:rsidRPr="00F000AF">
          <w:rPr>
            <w:rStyle w:val="Hyperlink"/>
            <w:rFonts w:asciiTheme="minorHAnsi" w:eastAsia="Times New Roman" w:hAnsiTheme="minorHAnsi" w:cs="Arial"/>
          </w:rPr>
          <w:t>cortega@cabq.gov</w:t>
        </w:r>
      </w:hyperlink>
      <w:r w:rsidRPr="00F000AF">
        <w:rPr>
          <w:rStyle w:val="Hyperlink"/>
          <w:rFonts w:asciiTheme="minorHAnsi" w:eastAsia="Times New Roman" w:hAnsiTheme="minorHAnsi" w:cs="Arial"/>
        </w:rPr>
        <w:t xml:space="preserve"> </w:t>
      </w:r>
      <w:r w:rsidRPr="00F000AF">
        <w:rPr>
          <w:rFonts w:asciiTheme="minorHAnsi" w:eastAsia="Times New Roman" w:hAnsiTheme="minorHAnsi" w:cs="Arial"/>
          <w:color w:val="000000"/>
        </w:rPr>
        <w:t>by email</w:t>
      </w:r>
      <w:r w:rsidR="00E24FAE" w:rsidRPr="00F000AF">
        <w:rPr>
          <w:rFonts w:asciiTheme="minorHAnsi" w:eastAsia="Times New Roman" w:hAnsiTheme="minorHAnsi" w:cs="Arial"/>
          <w:color w:val="000000"/>
        </w:rPr>
        <w:t xml:space="preserve"> August 9</w:t>
      </w:r>
      <w:r w:rsidRPr="00F000AF">
        <w:rPr>
          <w:rFonts w:asciiTheme="minorHAnsi" w:eastAsia="Times New Roman" w:hAnsiTheme="minorHAnsi" w:cs="Arial"/>
          <w:color w:val="000000"/>
        </w:rPr>
        <w:t>, 2017</w:t>
      </w:r>
      <w:bookmarkStart w:id="1" w:name="OLE_LINK2"/>
      <w:r w:rsidR="000F771C" w:rsidRPr="00F000AF">
        <w:rPr>
          <w:rFonts w:asciiTheme="minorHAnsi" w:eastAsia="Times New Roman" w:hAnsiTheme="minorHAnsi" w:cs="Arial"/>
          <w:color w:val="000000"/>
        </w:rPr>
        <w:t xml:space="preserve"> </w:t>
      </w:r>
      <w:bookmarkEnd w:id="1"/>
      <w:r w:rsidR="00B205F1" w:rsidRPr="00F000AF">
        <w:rPr>
          <w:rStyle w:val="Hyperlink"/>
          <w:rFonts w:asciiTheme="minorHAnsi" w:eastAsia="Times New Roman" w:hAnsiTheme="minorHAnsi" w:cs="Arial"/>
          <w:color w:val="auto"/>
          <w:u w:val="none"/>
        </w:rPr>
        <w:t xml:space="preserve"> </w:t>
      </w:r>
    </w:p>
    <w:p w:rsidR="0056445C" w:rsidRPr="00F000AF" w:rsidRDefault="0056445C" w:rsidP="00113E52">
      <w:pPr>
        <w:shd w:val="clear" w:color="auto" w:fill="FFFFFF"/>
        <w:rPr>
          <w:rStyle w:val="Hyperlink"/>
          <w:rFonts w:asciiTheme="minorHAnsi" w:eastAsia="Times New Roman" w:hAnsiTheme="minorHAnsi" w:cs="Arial"/>
          <w:color w:val="auto"/>
          <w:u w:val="none"/>
        </w:rPr>
      </w:pPr>
    </w:p>
    <w:p w:rsidR="00C20698" w:rsidRPr="00C20698" w:rsidRDefault="00C20698" w:rsidP="00C20698">
      <w:pPr>
        <w:pStyle w:val="Body"/>
        <w:shd w:val="clear" w:color="auto" w:fill="FFFFFF"/>
        <w:rPr>
          <w:rStyle w:val="Link"/>
          <w:rFonts w:ascii="Calibri" w:eastAsia="Calibri" w:hAnsi="Calibri" w:cs="Calibri"/>
          <w:color w:val="auto"/>
          <w:u w:val="none"/>
        </w:rPr>
      </w:pPr>
      <w:r w:rsidRPr="00C20698">
        <w:rPr>
          <w:rStyle w:val="Link"/>
          <w:rFonts w:ascii="Calibri" w:eastAsia="Calibri" w:hAnsi="Calibri" w:cs="Calibri"/>
          <w:color w:val="auto"/>
          <w:u w:val="none"/>
        </w:rPr>
        <w:t xml:space="preserve">The Nob Hill Neighborhood Association has taken an active role in the IDO process since its inception. We </w:t>
      </w:r>
      <w:r>
        <w:rPr>
          <w:rStyle w:val="Link"/>
          <w:rFonts w:ascii="Calibri" w:eastAsia="Calibri" w:hAnsi="Calibri" w:cs="Calibri"/>
          <w:color w:val="auto"/>
          <w:u w:val="none"/>
        </w:rPr>
        <w:t>received</w:t>
      </w:r>
      <w:r w:rsidRPr="00C20698">
        <w:rPr>
          <w:rStyle w:val="Link"/>
          <w:rFonts w:ascii="Calibri" w:eastAsia="Calibri" w:hAnsi="Calibri" w:cs="Calibri"/>
          <w:color w:val="auto"/>
          <w:u w:val="none"/>
        </w:rPr>
        <w:t xml:space="preserve"> neighborhood input at 3 public workshops we organized and </w:t>
      </w:r>
      <w:r w:rsidR="00B57873">
        <w:rPr>
          <w:rStyle w:val="Link"/>
          <w:rFonts w:ascii="Calibri" w:eastAsia="Calibri" w:hAnsi="Calibri" w:cs="Calibri"/>
          <w:color w:val="auto"/>
          <w:u w:val="none"/>
        </w:rPr>
        <w:t>from</w:t>
      </w:r>
      <w:r w:rsidRPr="00C20698">
        <w:rPr>
          <w:rStyle w:val="Link"/>
          <w:rFonts w:ascii="Calibri" w:eastAsia="Calibri" w:hAnsi="Calibri" w:cs="Calibri"/>
          <w:color w:val="auto"/>
          <w:u w:val="none"/>
        </w:rPr>
        <w:t xml:space="preserve"> several discussions on our organization’s email list. Our Board of Directors debated each item below</w:t>
      </w:r>
      <w:r>
        <w:rPr>
          <w:rStyle w:val="Link"/>
          <w:rFonts w:ascii="Calibri" w:eastAsia="Calibri" w:hAnsi="Calibri" w:cs="Calibri"/>
          <w:color w:val="auto"/>
          <w:u w:val="none"/>
        </w:rPr>
        <w:t>,</w:t>
      </w:r>
      <w:r w:rsidR="005C5A9F">
        <w:rPr>
          <w:rStyle w:val="Link"/>
          <w:rFonts w:ascii="Calibri" w:eastAsia="Calibri" w:hAnsi="Calibri" w:cs="Calibri"/>
          <w:color w:val="auto"/>
          <w:u w:val="none"/>
        </w:rPr>
        <w:t xml:space="preserve"> developed </w:t>
      </w:r>
      <w:r w:rsidRPr="00C20698">
        <w:rPr>
          <w:rStyle w:val="Link"/>
          <w:rFonts w:ascii="Calibri" w:eastAsia="Calibri" w:hAnsi="Calibri" w:cs="Calibri"/>
          <w:color w:val="auto"/>
          <w:u w:val="none"/>
        </w:rPr>
        <w:t xml:space="preserve">our </w:t>
      </w:r>
      <w:r w:rsidRPr="00C20698">
        <w:rPr>
          <w:rStyle w:val="Link"/>
          <w:rFonts w:ascii="Calibri" w:eastAsia="Calibri" w:hAnsi="Calibri" w:cs="Calibri"/>
          <w:color w:val="auto"/>
          <w:u w:val="none"/>
          <w:lang w:val="fr-FR"/>
        </w:rPr>
        <w:t>position</w:t>
      </w:r>
      <w:r w:rsidRPr="00C20698">
        <w:rPr>
          <w:rStyle w:val="Link"/>
          <w:rFonts w:ascii="Calibri" w:eastAsia="Calibri" w:hAnsi="Calibri" w:cs="Calibri"/>
          <w:color w:val="auto"/>
          <w:u w:val="none"/>
        </w:rPr>
        <w:t xml:space="preserve"> on e</w:t>
      </w:r>
      <w:r w:rsidR="005C5A9F">
        <w:rPr>
          <w:rStyle w:val="Link"/>
          <w:rFonts w:ascii="Calibri" w:eastAsia="Calibri" w:hAnsi="Calibri" w:cs="Calibri"/>
          <w:color w:val="auto"/>
          <w:u w:val="none"/>
        </w:rPr>
        <w:t>ach</w:t>
      </w:r>
      <w:r>
        <w:rPr>
          <w:rStyle w:val="Link"/>
          <w:rFonts w:ascii="Calibri" w:eastAsia="Calibri" w:hAnsi="Calibri" w:cs="Calibri"/>
          <w:color w:val="auto"/>
          <w:u w:val="none"/>
        </w:rPr>
        <w:t xml:space="preserve"> and</w:t>
      </w:r>
      <w:r w:rsidR="005C5A9F">
        <w:rPr>
          <w:rStyle w:val="Link"/>
          <w:rFonts w:ascii="Calibri" w:eastAsia="Calibri" w:hAnsi="Calibri" w:cs="Calibri"/>
          <w:color w:val="auto"/>
          <w:u w:val="none"/>
        </w:rPr>
        <w:t>,</w:t>
      </w:r>
      <w:r>
        <w:rPr>
          <w:rStyle w:val="Link"/>
          <w:rFonts w:ascii="Calibri" w:eastAsia="Calibri" w:hAnsi="Calibri" w:cs="Calibri"/>
          <w:color w:val="auto"/>
          <w:u w:val="none"/>
        </w:rPr>
        <w:t xml:space="preserve"> over several meetings, </w:t>
      </w:r>
      <w:r w:rsidRPr="00C20698">
        <w:rPr>
          <w:rStyle w:val="Link"/>
          <w:rFonts w:ascii="Calibri" w:eastAsia="Calibri" w:hAnsi="Calibri" w:cs="Calibri"/>
          <w:color w:val="auto"/>
          <w:u w:val="none"/>
        </w:rPr>
        <w:t>voted nearly unanimously to adopt them. Statements are based on the LUPZ draft dated 2017-07-28.</w:t>
      </w:r>
    </w:p>
    <w:p w:rsidR="00C20698" w:rsidRPr="00C20698" w:rsidRDefault="00C20698" w:rsidP="00C20698">
      <w:pPr>
        <w:pStyle w:val="Body"/>
        <w:shd w:val="clear" w:color="auto" w:fill="FFFFFF"/>
        <w:rPr>
          <w:rStyle w:val="Link"/>
          <w:rFonts w:ascii="Calibri" w:eastAsia="Calibri" w:hAnsi="Calibri" w:cs="Calibri"/>
          <w:color w:val="auto"/>
          <w:u w:val="none"/>
        </w:rPr>
      </w:pPr>
    </w:p>
    <w:p w:rsidR="00C20698" w:rsidRPr="00C20698" w:rsidRDefault="00B57873" w:rsidP="00C20698">
      <w:pPr>
        <w:pStyle w:val="Body"/>
        <w:shd w:val="clear" w:color="auto" w:fill="FFFFFF"/>
        <w:rPr>
          <w:color w:val="auto"/>
        </w:rPr>
      </w:pPr>
      <w:r>
        <w:rPr>
          <w:rStyle w:val="Link"/>
          <w:rFonts w:ascii="Calibri" w:eastAsia="Calibri" w:hAnsi="Calibri" w:cs="Calibri"/>
          <w:color w:val="auto"/>
          <w:u w:val="none"/>
        </w:rPr>
        <w:t xml:space="preserve">We are grateful for the professional service we have received from staff. </w:t>
      </w:r>
      <w:r w:rsidR="005C5A9F">
        <w:rPr>
          <w:rStyle w:val="Link"/>
          <w:rFonts w:ascii="Calibri" w:eastAsia="Calibri" w:hAnsi="Calibri" w:cs="Calibri"/>
          <w:color w:val="auto"/>
          <w:u w:val="none"/>
        </w:rPr>
        <w:t xml:space="preserve">It reflects great credit on the Planning Department. </w:t>
      </w:r>
      <w:r>
        <w:rPr>
          <w:rStyle w:val="Link"/>
          <w:rFonts w:ascii="Calibri" w:eastAsia="Calibri" w:hAnsi="Calibri" w:cs="Calibri"/>
          <w:color w:val="auto"/>
          <w:u w:val="none"/>
        </w:rPr>
        <w:t>W</w:t>
      </w:r>
      <w:r w:rsidR="00C20698" w:rsidRPr="00C20698">
        <w:rPr>
          <w:rStyle w:val="Link"/>
          <w:rFonts w:ascii="Calibri" w:eastAsia="Calibri" w:hAnsi="Calibri" w:cs="Calibri"/>
          <w:color w:val="auto"/>
          <w:u w:val="none"/>
        </w:rPr>
        <w:t xml:space="preserve">e have spent significant </w:t>
      </w:r>
      <w:r w:rsidR="005C5A9F">
        <w:rPr>
          <w:rStyle w:val="Link"/>
          <w:rFonts w:ascii="Calibri" w:eastAsia="Calibri" w:hAnsi="Calibri" w:cs="Calibri"/>
          <w:color w:val="auto"/>
          <w:u w:val="none"/>
        </w:rPr>
        <w:t>energy</w:t>
      </w:r>
      <w:r w:rsidR="00C20698" w:rsidRPr="00C20698">
        <w:rPr>
          <w:rStyle w:val="Link"/>
          <w:rFonts w:ascii="Calibri" w:eastAsia="Calibri" w:hAnsi="Calibri" w:cs="Calibri"/>
          <w:color w:val="auto"/>
          <w:u w:val="none"/>
        </w:rPr>
        <w:t xml:space="preserve"> re</w:t>
      </w:r>
      <w:r>
        <w:rPr>
          <w:rStyle w:val="Link"/>
          <w:rFonts w:ascii="Calibri" w:eastAsia="Calibri" w:hAnsi="Calibri" w:cs="Calibri"/>
          <w:color w:val="auto"/>
          <w:u w:val="none"/>
        </w:rPr>
        <w:t>viewing numerous</w:t>
      </w:r>
      <w:r w:rsidR="00C20698" w:rsidRPr="00C20698">
        <w:rPr>
          <w:rStyle w:val="Link"/>
          <w:rFonts w:ascii="Calibri" w:eastAsia="Calibri" w:hAnsi="Calibri" w:cs="Calibri"/>
          <w:color w:val="auto"/>
          <w:u w:val="none"/>
        </w:rPr>
        <w:t xml:space="preserve"> draft version</w:t>
      </w:r>
      <w:r w:rsidR="00C20698">
        <w:rPr>
          <w:rStyle w:val="Link"/>
          <w:rFonts w:ascii="Calibri" w:eastAsia="Calibri" w:hAnsi="Calibri" w:cs="Calibri"/>
          <w:color w:val="auto"/>
          <w:u w:val="none"/>
        </w:rPr>
        <w:t>s</w:t>
      </w:r>
      <w:r w:rsidR="00C20698" w:rsidRPr="00C20698">
        <w:rPr>
          <w:rStyle w:val="Link"/>
          <w:rFonts w:ascii="Calibri" w:eastAsia="Calibri" w:hAnsi="Calibri" w:cs="Calibri"/>
          <w:color w:val="auto"/>
          <w:u w:val="none"/>
        </w:rPr>
        <w:t>, attending public meetings and office hours, and engaging our members</w:t>
      </w:r>
      <w:r>
        <w:rPr>
          <w:rStyle w:val="Link"/>
          <w:rFonts w:ascii="Calibri" w:eastAsia="Calibri" w:hAnsi="Calibri" w:cs="Calibri"/>
          <w:color w:val="auto"/>
          <w:u w:val="none"/>
        </w:rPr>
        <w:t>. T</w:t>
      </w:r>
      <w:r w:rsidR="00C20698" w:rsidRPr="00C20698">
        <w:rPr>
          <w:rStyle w:val="Link"/>
          <w:rFonts w:ascii="Calibri" w:eastAsia="Calibri" w:hAnsi="Calibri" w:cs="Calibri"/>
          <w:color w:val="auto"/>
          <w:u w:val="none"/>
        </w:rPr>
        <w:t>he IDO is complex</w:t>
      </w:r>
      <w:r>
        <w:rPr>
          <w:rStyle w:val="Link"/>
          <w:rFonts w:ascii="Calibri" w:eastAsia="Calibri" w:hAnsi="Calibri" w:cs="Calibri"/>
          <w:color w:val="auto"/>
          <w:u w:val="none"/>
        </w:rPr>
        <w:t xml:space="preserve"> and</w:t>
      </w:r>
      <w:r w:rsidR="00C20698" w:rsidRPr="00C20698">
        <w:rPr>
          <w:rStyle w:val="Link"/>
          <w:rFonts w:ascii="Calibri" w:eastAsia="Calibri" w:hAnsi="Calibri" w:cs="Calibri"/>
          <w:color w:val="auto"/>
          <w:u w:val="none"/>
        </w:rPr>
        <w:t xml:space="preserve"> detailed</w:t>
      </w:r>
      <w:r>
        <w:rPr>
          <w:rStyle w:val="Link"/>
          <w:rFonts w:ascii="Calibri" w:eastAsia="Calibri" w:hAnsi="Calibri" w:cs="Calibri"/>
          <w:color w:val="auto"/>
          <w:u w:val="none"/>
        </w:rPr>
        <w:t>.</w:t>
      </w:r>
      <w:r w:rsidR="00C20698" w:rsidRPr="00C20698">
        <w:rPr>
          <w:rStyle w:val="Link"/>
          <w:rFonts w:ascii="Calibri" w:eastAsia="Calibri" w:hAnsi="Calibri" w:cs="Calibri"/>
          <w:color w:val="auto"/>
          <w:u w:val="none"/>
        </w:rPr>
        <w:t xml:space="preserve"> We are not comfortable with the schedule the city has pursued for passing the IDO and remain concerned that many of our </w:t>
      </w:r>
      <w:r w:rsidR="00C20698">
        <w:rPr>
          <w:rStyle w:val="Link"/>
          <w:rFonts w:ascii="Calibri" w:eastAsia="Calibri" w:hAnsi="Calibri" w:cs="Calibri"/>
          <w:color w:val="auto"/>
          <w:u w:val="none"/>
        </w:rPr>
        <w:t>neighbors</w:t>
      </w:r>
      <w:r w:rsidR="00C20698" w:rsidRPr="00C20698">
        <w:rPr>
          <w:rStyle w:val="Link"/>
          <w:rFonts w:ascii="Calibri" w:eastAsia="Calibri" w:hAnsi="Calibri" w:cs="Calibri"/>
          <w:color w:val="auto"/>
          <w:u w:val="none"/>
        </w:rPr>
        <w:t xml:space="preserve"> and the population of the</w:t>
      </w:r>
      <w:r w:rsidR="00C20698">
        <w:rPr>
          <w:rStyle w:val="Link"/>
          <w:rFonts w:ascii="Calibri" w:eastAsia="Calibri" w:hAnsi="Calibri" w:cs="Calibri"/>
          <w:color w:val="auto"/>
          <w:u w:val="none"/>
        </w:rPr>
        <w:t xml:space="preserve"> city </w:t>
      </w:r>
      <w:r>
        <w:rPr>
          <w:rStyle w:val="Link"/>
          <w:rFonts w:ascii="Calibri" w:eastAsia="Calibri" w:hAnsi="Calibri" w:cs="Calibri"/>
          <w:color w:val="auto"/>
          <w:u w:val="none"/>
        </w:rPr>
        <w:t>in</w:t>
      </w:r>
      <w:r w:rsidR="00C20698">
        <w:rPr>
          <w:rStyle w:val="Link"/>
          <w:rFonts w:ascii="Calibri" w:eastAsia="Calibri" w:hAnsi="Calibri" w:cs="Calibri"/>
          <w:color w:val="auto"/>
          <w:u w:val="none"/>
        </w:rPr>
        <w:t xml:space="preserve"> general</w:t>
      </w:r>
      <w:r w:rsidR="00C20698" w:rsidRPr="00C20698">
        <w:rPr>
          <w:rStyle w:val="Link"/>
          <w:rFonts w:ascii="Calibri" w:eastAsia="Calibri" w:hAnsi="Calibri" w:cs="Calibri"/>
          <w:color w:val="auto"/>
          <w:u w:val="none"/>
        </w:rPr>
        <w:t xml:space="preserve"> have not had enough time to absorb the detail and understand the consequences of the IDO.</w:t>
      </w:r>
      <w:r w:rsidR="005C5A9F">
        <w:rPr>
          <w:rStyle w:val="Link"/>
          <w:rFonts w:ascii="Calibri" w:eastAsia="Calibri" w:hAnsi="Calibri" w:cs="Calibri"/>
          <w:color w:val="auto"/>
          <w:u w:val="none"/>
        </w:rPr>
        <w:t xml:space="preserve"> Here is our position statement.</w:t>
      </w:r>
    </w:p>
    <w:p w:rsidR="00113E52" w:rsidRDefault="00113E52" w:rsidP="00113E52">
      <w:pPr>
        <w:shd w:val="clear" w:color="auto" w:fill="FFFFFF"/>
        <w:rPr>
          <w:rFonts w:ascii="Arial" w:eastAsia="Times New Roman" w:hAnsi="Arial" w:cs="Arial"/>
          <w:color w:val="000000"/>
          <w:sz w:val="22"/>
          <w:szCs w:val="22"/>
        </w:rPr>
      </w:pPr>
    </w:p>
    <w:p w:rsidR="001A25C1" w:rsidRPr="00187ABC" w:rsidRDefault="001A25C1" w:rsidP="00C94C6F">
      <w:pPr>
        <w:shd w:val="clear" w:color="auto" w:fill="FFFFFF"/>
        <w:rPr>
          <w:rFonts w:ascii="Arial" w:eastAsia="Times New Roman" w:hAnsi="Arial" w:cs="Arial"/>
          <w:color w:val="C00000"/>
          <w:sz w:val="20"/>
          <w:szCs w:val="20"/>
        </w:rPr>
      </w:pPr>
    </w:p>
    <w:p w:rsidR="009D3357" w:rsidRPr="00BC480F" w:rsidRDefault="009D3357" w:rsidP="009D3357">
      <w:pPr>
        <w:rPr>
          <w:rFonts w:asciiTheme="minorHAnsi" w:hAnsiTheme="minorHAnsi" w:cs="Arial"/>
        </w:rPr>
      </w:pPr>
      <w:r w:rsidRPr="00BC480F">
        <w:rPr>
          <w:rFonts w:asciiTheme="minorHAnsi" w:hAnsiTheme="minorHAnsi" w:cs="Arial"/>
          <w:b/>
        </w:rPr>
        <w:t>1.</w:t>
      </w:r>
      <w:r w:rsidR="00BC480F" w:rsidRPr="00BC480F">
        <w:rPr>
          <w:rFonts w:asciiTheme="minorHAnsi" w:hAnsiTheme="minorHAnsi" w:cs="Arial"/>
          <w:b/>
        </w:rPr>
        <w:t xml:space="preserve"> </w:t>
      </w:r>
      <w:r w:rsidRPr="00BC480F">
        <w:rPr>
          <w:rFonts w:asciiTheme="minorHAnsi" w:hAnsiTheme="minorHAnsi" w:cs="Arial"/>
          <w:b/>
        </w:rPr>
        <w:t>NHNA strongly opposes building heights on Central Ave. that exceed those in the Nob Hill Highland Sector Development plan.</w:t>
      </w:r>
      <w:r w:rsidRPr="00BC480F">
        <w:rPr>
          <w:rFonts w:asciiTheme="minorHAnsi" w:hAnsiTheme="minorHAnsi" w:cs="Arial"/>
        </w:rPr>
        <w:t xml:space="preserve"> Th</w:t>
      </w:r>
      <w:r w:rsidR="00B57873">
        <w:rPr>
          <w:rFonts w:asciiTheme="minorHAnsi" w:hAnsiTheme="minorHAnsi" w:cs="Arial"/>
        </w:rPr>
        <w:t>e</w:t>
      </w:r>
      <w:r w:rsidRPr="00BC480F">
        <w:rPr>
          <w:rFonts w:asciiTheme="minorHAnsi" w:hAnsiTheme="minorHAnsi" w:cs="Arial"/>
        </w:rPr>
        <w:t xml:space="preserve"> sector plan limits the maximum height to 39 feet/3 stories from Girard to Aliso, and 54 feet/4 stories from Aliso to Graceland.</w:t>
      </w:r>
    </w:p>
    <w:p w:rsidR="009D3357" w:rsidRPr="00BC480F" w:rsidRDefault="009D3357" w:rsidP="009D3357">
      <w:pPr>
        <w:numPr>
          <w:ilvl w:val="1"/>
          <w:numId w:val="17"/>
        </w:numPr>
        <w:rPr>
          <w:rFonts w:asciiTheme="minorHAnsi" w:hAnsiTheme="minorHAnsi" w:cs="Arial"/>
        </w:rPr>
      </w:pPr>
      <w:r w:rsidRPr="00BC480F">
        <w:rPr>
          <w:rFonts w:asciiTheme="minorHAnsi" w:hAnsiTheme="minorHAnsi" w:cs="Arial"/>
        </w:rPr>
        <w:t>The heights negotiated in the sector plan in 2007 were already contentious, with most residents preferring 1 and 2 stories consistent with historic design principles; 39 feet and 54 feet were viewed as losses when the final plan passed.</w:t>
      </w:r>
      <w:r w:rsidR="0081575A" w:rsidRPr="00BC480F">
        <w:rPr>
          <w:rFonts w:asciiTheme="minorHAnsi" w:hAnsiTheme="minorHAnsi"/>
        </w:rPr>
        <w:t xml:space="preserve"> NHNA supports increased residential density on Central Ave but asserts that 39 feet and 54 feet will accomplish this with balance for historic scale.</w:t>
      </w:r>
    </w:p>
    <w:p w:rsidR="009D3357" w:rsidRPr="00BC480F" w:rsidRDefault="009D3357" w:rsidP="009D3357">
      <w:pPr>
        <w:numPr>
          <w:ilvl w:val="1"/>
          <w:numId w:val="17"/>
        </w:numPr>
        <w:rPr>
          <w:rFonts w:asciiTheme="minorHAnsi" w:hAnsiTheme="minorHAnsi" w:cs="Arial"/>
        </w:rPr>
      </w:pPr>
      <w:r w:rsidRPr="00BC480F">
        <w:rPr>
          <w:rFonts w:asciiTheme="minorHAnsi" w:hAnsiTheme="minorHAnsi" w:cs="Arial"/>
        </w:rPr>
        <w:t>In the initial public meetings on the Comp Plan and IDO, staff clearly stated that the intent was to simplify, clarify, and consolidate the existing zoning and sector development plans and that this was not an opportunity to request substantial changes. This was the consistent answer to explicit questions on the intent of the process. Nevertheless, the draft significantly raises building heights between Girard and Washington. From Carlisle to Graceland maximum heights are effective</w:t>
      </w:r>
      <w:r w:rsidR="00BD34E6" w:rsidRPr="00BC480F">
        <w:rPr>
          <w:rFonts w:asciiTheme="minorHAnsi" w:hAnsiTheme="minorHAnsi" w:cs="Arial"/>
        </w:rPr>
        <w:t>ly</w:t>
      </w:r>
      <w:r w:rsidRPr="00BC480F">
        <w:rPr>
          <w:rFonts w:asciiTheme="minorHAnsi" w:hAnsiTheme="minorHAnsi" w:cs="Arial"/>
        </w:rPr>
        <w:t xml:space="preserve"> doubled from 39’ to </w:t>
      </w:r>
      <w:r w:rsidR="00BD34E6" w:rsidRPr="00BC480F">
        <w:rPr>
          <w:rFonts w:asciiTheme="minorHAnsi" w:hAnsiTheme="minorHAnsi" w:cs="Arial"/>
        </w:rPr>
        <w:t xml:space="preserve">35’ or </w:t>
      </w:r>
      <w:r w:rsidRPr="00BC480F">
        <w:rPr>
          <w:rFonts w:asciiTheme="minorHAnsi" w:hAnsiTheme="minorHAnsi" w:cs="Arial"/>
        </w:rPr>
        <w:t xml:space="preserve">77’, </w:t>
      </w:r>
      <w:r w:rsidR="00BD34E6" w:rsidRPr="00BC480F">
        <w:rPr>
          <w:rFonts w:asciiTheme="minorHAnsi" w:hAnsiTheme="minorHAnsi" w:cs="Arial"/>
        </w:rPr>
        <w:t>and</w:t>
      </w:r>
      <w:r w:rsidRPr="00BC480F">
        <w:rPr>
          <w:rFonts w:asciiTheme="minorHAnsi" w:hAnsiTheme="minorHAnsi" w:cs="Arial"/>
        </w:rPr>
        <w:t xml:space="preserve"> 54’ to 89’; </w:t>
      </w:r>
      <w:r w:rsidR="00BD34E6" w:rsidRPr="00BC480F">
        <w:rPr>
          <w:rFonts w:asciiTheme="minorHAnsi" w:hAnsiTheme="minorHAnsi" w:cs="Arial"/>
        </w:rPr>
        <w:t xml:space="preserve">East of </w:t>
      </w:r>
      <w:r w:rsidR="005C5A9F" w:rsidRPr="00BC480F">
        <w:rPr>
          <w:rFonts w:asciiTheme="minorHAnsi" w:hAnsiTheme="minorHAnsi" w:cs="Arial"/>
        </w:rPr>
        <w:t>Montclair</w:t>
      </w:r>
      <w:r w:rsidR="00BD34E6" w:rsidRPr="00BC480F">
        <w:rPr>
          <w:rFonts w:asciiTheme="minorHAnsi" w:hAnsiTheme="minorHAnsi" w:cs="Arial"/>
        </w:rPr>
        <w:t xml:space="preserve"> </w:t>
      </w:r>
      <w:r w:rsidRPr="00BC480F">
        <w:rPr>
          <w:rFonts w:asciiTheme="minorHAnsi" w:hAnsiTheme="minorHAnsi" w:cs="Arial"/>
        </w:rPr>
        <w:t xml:space="preserve">building heights are effectively unlimited because of footnote [2] of </w:t>
      </w:r>
      <w:r w:rsidR="00BD34E6" w:rsidRPr="00BC480F">
        <w:rPr>
          <w:rFonts w:asciiTheme="minorHAnsi" w:hAnsiTheme="minorHAnsi" w:cs="Arial"/>
        </w:rPr>
        <w:t>Table 5-1-2, the size of blocks</w:t>
      </w:r>
      <w:r w:rsidRPr="00BC480F">
        <w:rPr>
          <w:rFonts w:asciiTheme="minorHAnsi" w:hAnsiTheme="minorHAnsi" w:cs="Arial"/>
        </w:rPr>
        <w:t>, and the lack of maximum lot sizes in MX-M zones.</w:t>
      </w:r>
    </w:p>
    <w:p w:rsidR="0081575A" w:rsidRPr="00BC480F" w:rsidRDefault="009D3357" w:rsidP="0081575A">
      <w:pPr>
        <w:numPr>
          <w:ilvl w:val="1"/>
          <w:numId w:val="17"/>
        </w:numPr>
        <w:rPr>
          <w:rFonts w:asciiTheme="minorHAnsi" w:hAnsiTheme="minorHAnsi" w:cs="Arial"/>
        </w:rPr>
      </w:pPr>
      <w:r w:rsidRPr="00BC480F">
        <w:rPr>
          <w:rFonts w:asciiTheme="minorHAnsi" w:hAnsiTheme="minorHAnsi" w:cs="Arial"/>
        </w:rPr>
        <w:t>One of Nob Hill’s distinguishing features is its sense of place, and to a large degree that is created by the scale of buildings, their location against the sidewalk (in particular, no parking lot between the building and t</w:t>
      </w:r>
      <w:r w:rsidR="00BD34E6" w:rsidRPr="00BC480F">
        <w:rPr>
          <w:rFonts w:asciiTheme="minorHAnsi" w:hAnsiTheme="minorHAnsi" w:cs="Arial"/>
        </w:rPr>
        <w:t xml:space="preserve">he street), and the rhythm of </w:t>
      </w:r>
      <w:r w:rsidRPr="00BC480F">
        <w:rPr>
          <w:rFonts w:asciiTheme="minorHAnsi" w:hAnsiTheme="minorHAnsi" w:cs="Arial"/>
        </w:rPr>
        <w:t>narrow shop fronts. The increased maximum building heights are in direct opposition to the existing scale and the larger buildings that will be built will diminish the sense of place that draws so many Albuquerque residents and tourists to Nob Hill.</w:t>
      </w:r>
    </w:p>
    <w:p w:rsidR="0081575A" w:rsidRPr="00BC480F" w:rsidRDefault="0081575A" w:rsidP="0081575A">
      <w:pPr>
        <w:pStyle w:val="ListParagraph"/>
        <w:numPr>
          <w:ilvl w:val="1"/>
          <w:numId w:val="17"/>
        </w:numPr>
        <w:spacing w:before="100" w:beforeAutospacing="1" w:after="100" w:afterAutospacing="1"/>
        <w:rPr>
          <w:rFonts w:asciiTheme="minorHAnsi" w:hAnsiTheme="minorHAnsi" w:cs="Arial"/>
        </w:rPr>
      </w:pPr>
      <w:r w:rsidRPr="00BC480F">
        <w:rPr>
          <w:rFonts w:asciiTheme="minorHAnsi" w:hAnsiTheme="minorHAnsi"/>
        </w:rPr>
        <w:lastRenderedPageBreak/>
        <w:t>The State Historic Preservation Officer asserted during discussions on ART station design that historic scale is a character-defining feature of Nob Hill.  As a rare intact segment of Route 66, Nob Hill’s historic character benefits Albuquerque culturally and economically and is worthy of preservation. Projects have been permitted and successfully built using the Sector Plan height limits.</w:t>
      </w:r>
    </w:p>
    <w:p w:rsidR="009D3357" w:rsidRPr="00BC480F" w:rsidRDefault="009D3357" w:rsidP="009D3357">
      <w:pPr>
        <w:numPr>
          <w:ilvl w:val="1"/>
          <w:numId w:val="17"/>
        </w:numPr>
        <w:rPr>
          <w:rFonts w:asciiTheme="minorHAnsi" w:hAnsiTheme="minorHAnsi" w:cs="Arial"/>
        </w:rPr>
      </w:pPr>
      <w:r w:rsidRPr="00BC480F">
        <w:rPr>
          <w:rFonts w:asciiTheme="minorHAnsi" w:hAnsiTheme="minorHAnsi" w:cs="Arial"/>
        </w:rPr>
        <w:t>While the intent to increase the available parking is appreciated, the NHNA opposes the height bonus for structured/podium/subterranean parking. There are requirements for parking based on the uses and number of dwelling units for a proposed building. There is no need to offer incentives to meet existing parking requirements.</w:t>
      </w:r>
    </w:p>
    <w:p w:rsidR="009D3357" w:rsidRPr="00B57873" w:rsidRDefault="009D3357" w:rsidP="009D3357">
      <w:pPr>
        <w:numPr>
          <w:ilvl w:val="1"/>
          <w:numId w:val="17"/>
        </w:numPr>
        <w:rPr>
          <w:rFonts w:asciiTheme="minorHAnsi" w:hAnsiTheme="minorHAnsi" w:cs="Arial"/>
        </w:rPr>
      </w:pPr>
      <w:r w:rsidRPr="00B57873">
        <w:rPr>
          <w:rFonts w:asciiTheme="minorHAnsi" w:hAnsiTheme="minorHAnsi" w:cs="Arial"/>
        </w:rPr>
        <w:t>The NHNA notes that if the following were not applicable in CPO-6, the IDO would  preserve the maximum building heights in the 2007 Nob Hill Highland sector plan: </w:t>
      </w:r>
    </w:p>
    <w:p w:rsidR="009D3357" w:rsidRPr="00B57873" w:rsidRDefault="009D3357" w:rsidP="009D3357">
      <w:pPr>
        <w:numPr>
          <w:ilvl w:val="2"/>
          <w:numId w:val="17"/>
        </w:numPr>
        <w:rPr>
          <w:rFonts w:asciiTheme="minorHAnsi" w:hAnsiTheme="minorHAnsi" w:cs="Arial"/>
        </w:rPr>
      </w:pPr>
      <w:r w:rsidRPr="00B57873">
        <w:rPr>
          <w:rFonts w:asciiTheme="minorHAnsi" w:hAnsiTheme="minorHAnsi" w:cs="Arial"/>
        </w:rPr>
        <w:t>building height allowances for premium transit</w:t>
      </w:r>
    </w:p>
    <w:p w:rsidR="009D3357" w:rsidRPr="00B57873" w:rsidRDefault="009D3357" w:rsidP="009D3357">
      <w:pPr>
        <w:numPr>
          <w:ilvl w:val="2"/>
          <w:numId w:val="17"/>
        </w:numPr>
        <w:rPr>
          <w:rFonts w:asciiTheme="minorHAnsi" w:hAnsiTheme="minorHAnsi" w:cs="Arial"/>
        </w:rPr>
      </w:pPr>
      <w:r w:rsidRPr="00B57873">
        <w:rPr>
          <w:rFonts w:asciiTheme="minorHAnsi" w:hAnsiTheme="minorHAnsi" w:cs="Arial"/>
        </w:rPr>
        <w:t>building height bonuses for structured/podium/subterranean parking</w:t>
      </w:r>
    </w:p>
    <w:p w:rsidR="009D3357" w:rsidRPr="00B57873" w:rsidRDefault="009D3357" w:rsidP="009D3357">
      <w:pPr>
        <w:numPr>
          <w:ilvl w:val="2"/>
          <w:numId w:val="17"/>
        </w:numPr>
        <w:rPr>
          <w:rFonts w:asciiTheme="minorHAnsi" w:hAnsiTheme="minorHAnsi" w:cs="Arial"/>
        </w:rPr>
      </w:pPr>
      <w:r w:rsidRPr="00B57873">
        <w:rPr>
          <w:rFonts w:asciiTheme="minorHAnsi" w:hAnsiTheme="minorHAnsi" w:cs="Arial"/>
        </w:rPr>
        <w:t>building height bonuses for main street corridors </w:t>
      </w:r>
    </w:p>
    <w:p w:rsidR="009D3357" w:rsidRPr="00B57873" w:rsidRDefault="009D3357" w:rsidP="009D3357">
      <w:pPr>
        <w:numPr>
          <w:ilvl w:val="2"/>
          <w:numId w:val="17"/>
        </w:numPr>
        <w:rPr>
          <w:rFonts w:asciiTheme="minorHAnsi" w:hAnsiTheme="minorHAnsi" w:cs="Arial"/>
        </w:rPr>
      </w:pPr>
      <w:r w:rsidRPr="00B57873">
        <w:rPr>
          <w:rFonts w:asciiTheme="minorHAnsi" w:hAnsiTheme="minorHAnsi" w:cs="Arial"/>
        </w:rPr>
        <w:t>note [2] in Table 5-1-2</w:t>
      </w:r>
    </w:p>
    <w:p w:rsidR="009D3357" w:rsidRPr="00B57873" w:rsidRDefault="009D3357" w:rsidP="00A442B3">
      <w:pPr>
        <w:numPr>
          <w:ilvl w:val="2"/>
          <w:numId w:val="17"/>
        </w:numPr>
        <w:rPr>
          <w:rFonts w:asciiTheme="minorHAnsi" w:eastAsia="Times New Roman" w:hAnsiTheme="minorHAnsi"/>
        </w:rPr>
      </w:pPr>
      <w:r w:rsidRPr="00B57873">
        <w:rPr>
          <w:rFonts w:asciiTheme="minorHAnsi" w:hAnsiTheme="minorHAnsi" w:cs="Arial"/>
        </w:rPr>
        <w:t>any other proposed maximum height allowances or bonuses except for workforce housing from Aliso to Graceland</w:t>
      </w:r>
    </w:p>
    <w:p w:rsidR="004963B3" w:rsidRPr="00BC480F" w:rsidRDefault="004963B3" w:rsidP="001347F0">
      <w:pPr>
        <w:ind w:left="270"/>
        <w:rPr>
          <w:rFonts w:asciiTheme="minorHAnsi" w:eastAsia="Times New Roman" w:hAnsiTheme="minorHAnsi"/>
          <w:b/>
        </w:rPr>
      </w:pPr>
    </w:p>
    <w:p w:rsidR="001121F3" w:rsidRPr="00BC480F" w:rsidRDefault="001121F3" w:rsidP="008D577E">
      <w:pPr>
        <w:shd w:val="clear" w:color="auto" w:fill="FFFFFF"/>
        <w:rPr>
          <w:rFonts w:asciiTheme="minorHAnsi" w:eastAsia="Times New Roman" w:hAnsiTheme="minorHAnsi"/>
          <w:b/>
        </w:rPr>
      </w:pPr>
      <w:r w:rsidRPr="00BC480F">
        <w:rPr>
          <w:rFonts w:asciiTheme="minorHAnsi" w:eastAsia="Times New Roman" w:hAnsiTheme="minorHAnsi" w:cs="Arial"/>
          <w:b/>
        </w:rPr>
        <w:t>2</w:t>
      </w:r>
      <w:r w:rsidR="00BC480F" w:rsidRPr="00BC480F">
        <w:rPr>
          <w:rFonts w:asciiTheme="minorHAnsi" w:eastAsia="Times New Roman" w:hAnsiTheme="minorHAnsi" w:cs="Arial"/>
          <w:b/>
        </w:rPr>
        <w:t xml:space="preserve">. </w:t>
      </w:r>
      <w:r w:rsidR="00B57873">
        <w:rPr>
          <w:rFonts w:asciiTheme="minorHAnsi" w:eastAsia="Times New Roman" w:hAnsiTheme="minorHAnsi" w:cs="Arial"/>
          <w:b/>
        </w:rPr>
        <w:t>B</w:t>
      </w:r>
      <w:r w:rsidR="00E45F22" w:rsidRPr="00BC480F">
        <w:rPr>
          <w:rFonts w:asciiTheme="minorHAnsi" w:hAnsiTheme="minorHAnsi" w:cs="Arial"/>
          <w:b/>
        </w:rPr>
        <w:t>uilding heights in MX-T that exceed those in the Nob Hill Highland sector plan</w:t>
      </w:r>
      <w:bookmarkStart w:id="2" w:name="_GoBack"/>
      <w:bookmarkEnd w:id="2"/>
      <w:r w:rsidR="005C5A9F">
        <w:rPr>
          <w:rFonts w:asciiTheme="minorHAnsi" w:hAnsiTheme="minorHAnsi" w:cs="Arial"/>
        </w:rPr>
        <w:t>…</w:t>
      </w:r>
      <w:r w:rsidRPr="00BC480F">
        <w:rPr>
          <w:rFonts w:asciiTheme="minorHAnsi" w:eastAsia="Times New Roman" w:hAnsiTheme="minorHAnsi" w:cs="Arial"/>
        </w:rPr>
        <w:t>page 23</w:t>
      </w:r>
      <w:r w:rsidR="00CD6DCD" w:rsidRPr="00BC480F">
        <w:rPr>
          <w:rFonts w:asciiTheme="minorHAnsi" w:eastAsia="Times New Roman" w:hAnsiTheme="minorHAnsi" w:cs="Arial"/>
        </w:rPr>
        <w:t>1…</w:t>
      </w:r>
      <w:r w:rsidRPr="00BC480F">
        <w:rPr>
          <w:rFonts w:asciiTheme="minorHAnsi" w:eastAsia="Times New Roman" w:hAnsiTheme="minorHAnsi" w:cs="Arial"/>
        </w:rPr>
        <w:t xml:space="preserve">Table </w:t>
      </w:r>
      <w:r w:rsidR="00CD6DCD" w:rsidRPr="00BC480F">
        <w:rPr>
          <w:rFonts w:asciiTheme="minorHAnsi" w:eastAsia="Times New Roman" w:hAnsiTheme="minorHAnsi" w:cs="Arial"/>
        </w:rPr>
        <w:t>5-2-1</w:t>
      </w:r>
      <w:r w:rsidRPr="00BC480F">
        <w:rPr>
          <w:rFonts w:asciiTheme="minorHAnsi" w:eastAsia="Times New Roman" w:hAnsiTheme="minorHAnsi" w:cs="Arial"/>
        </w:rPr>
        <w:t xml:space="preserve"> allows building height 30 ft, 2 stories….NHNA Board voted 9-2, 1 abstain, </w:t>
      </w:r>
      <w:r w:rsidR="00B57873">
        <w:rPr>
          <w:rFonts w:asciiTheme="minorHAnsi" w:eastAsia="Times New Roman" w:hAnsiTheme="minorHAnsi" w:cs="Arial"/>
        </w:rPr>
        <w:t xml:space="preserve">in  </w:t>
      </w:r>
      <w:r w:rsidRPr="00BC480F">
        <w:rPr>
          <w:rFonts w:asciiTheme="minorHAnsi" w:eastAsia="Times New Roman" w:hAnsiTheme="minorHAnsi" w:cs="Arial"/>
        </w:rPr>
        <w:t>favor</w:t>
      </w:r>
      <w:r w:rsidR="00B57873">
        <w:rPr>
          <w:rFonts w:asciiTheme="minorHAnsi" w:eastAsia="Times New Roman" w:hAnsiTheme="minorHAnsi" w:cs="Arial"/>
        </w:rPr>
        <w:t xml:space="preserve"> of</w:t>
      </w:r>
      <w:r w:rsidRPr="00BC480F">
        <w:rPr>
          <w:rFonts w:asciiTheme="minorHAnsi" w:eastAsia="Times New Roman" w:hAnsiTheme="minorHAnsi" w:cs="Arial"/>
        </w:rPr>
        <w:t xml:space="preserve"> 2</w:t>
      </w:r>
      <w:r w:rsidR="00E45F22" w:rsidRPr="00BC480F">
        <w:rPr>
          <w:rFonts w:asciiTheme="minorHAnsi" w:eastAsia="Times New Roman" w:hAnsiTheme="minorHAnsi" w:cs="Arial"/>
        </w:rPr>
        <w:t>6 ft as in the 2007 Sector Plan. In Nob Hill the OR-1 and OR-2 zones were originally houses. Preserving their 26 ft max height would tend to preserve historic structures</w:t>
      </w:r>
      <w:r w:rsidR="00B57873">
        <w:rPr>
          <w:rFonts w:asciiTheme="minorHAnsi" w:eastAsia="Times New Roman" w:hAnsiTheme="minorHAnsi" w:cs="Arial"/>
        </w:rPr>
        <w:t xml:space="preserve"> in the MX-T zone</w:t>
      </w:r>
      <w:r w:rsidR="00E45F22" w:rsidRPr="00BC480F">
        <w:rPr>
          <w:rFonts w:asciiTheme="minorHAnsi" w:eastAsia="Times New Roman" w:hAnsiTheme="minorHAnsi" w:cs="Arial"/>
        </w:rPr>
        <w:t xml:space="preserve"> and protect the neighborhood edge.</w:t>
      </w:r>
    </w:p>
    <w:p w:rsidR="001121F3" w:rsidRPr="00BC480F" w:rsidRDefault="001121F3" w:rsidP="001121F3">
      <w:pPr>
        <w:rPr>
          <w:rFonts w:asciiTheme="minorHAnsi" w:eastAsia="Times New Roman" w:hAnsiTheme="minorHAnsi"/>
          <w:b/>
        </w:rPr>
      </w:pPr>
    </w:p>
    <w:p w:rsidR="004963B3" w:rsidRPr="00BC480F" w:rsidRDefault="001121F3" w:rsidP="001121F3">
      <w:pPr>
        <w:rPr>
          <w:rFonts w:asciiTheme="minorHAnsi" w:eastAsia="Times New Roman" w:hAnsiTheme="minorHAnsi"/>
          <w:i/>
        </w:rPr>
      </w:pPr>
      <w:r w:rsidRPr="00BC480F">
        <w:rPr>
          <w:rFonts w:asciiTheme="minorHAnsi" w:eastAsia="Times New Roman" w:hAnsiTheme="minorHAnsi"/>
          <w:b/>
        </w:rPr>
        <w:t>3</w:t>
      </w:r>
      <w:r w:rsidR="00BC480F" w:rsidRPr="00BC480F">
        <w:rPr>
          <w:rFonts w:asciiTheme="minorHAnsi" w:eastAsia="Times New Roman" w:hAnsiTheme="minorHAnsi"/>
          <w:b/>
        </w:rPr>
        <w:t xml:space="preserve">. </w:t>
      </w:r>
      <w:r w:rsidR="00B57873">
        <w:rPr>
          <w:rFonts w:asciiTheme="minorHAnsi" w:eastAsia="Times New Roman" w:hAnsiTheme="minorHAnsi"/>
          <w:b/>
        </w:rPr>
        <w:t>Walls greater than 3 feet high in front setbacks</w:t>
      </w:r>
      <w:r w:rsidR="00B57873" w:rsidRPr="00B57873">
        <w:rPr>
          <w:rFonts w:asciiTheme="minorHAnsi" w:eastAsia="Times New Roman" w:hAnsiTheme="minorHAnsi"/>
        </w:rPr>
        <w:t>…</w:t>
      </w:r>
      <w:r w:rsidR="007B1BC2" w:rsidRPr="00B57873">
        <w:rPr>
          <w:rFonts w:asciiTheme="minorHAnsi" w:eastAsia="Times New Roman" w:hAnsiTheme="minorHAnsi"/>
        </w:rPr>
        <w:t>5-7(D</w:t>
      </w:r>
      <w:r w:rsidR="005C5A9F" w:rsidRPr="00B57873">
        <w:rPr>
          <w:rFonts w:asciiTheme="minorHAnsi" w:eastAsia="Times New Roman" w:hAnsiTheme="minorHAnsi"/>
        </w:rPr>
        <w:t>) (</w:t>
      </w:r>
      <w:r w:rsidR="007B1BC2" w:rsidRPr="00B57873">
        <w:rPr>
          <w:rFonts w:asciiTheme="minorHAnsi" w:eastAsia="Times New Roman" w:hAnsiTheme="minorHAnsi"/>
        </w:rPr>
        <w:t>3</w:t>
      </w:r>
      <w:r w:rsidR="005C5A9F" w:rsidRPr="00B57873">
        <w:rPr>
          <w:rFonts w:asciiTheme="minorHAnsi" w:eastAsia="Times New Roman" w:hAnsiTheme="minorHAnsi"/>
        </w:rPr>
        <w:t>) (</w:t>
      </w:r>
      <w:r w:rsidR="007B1BC2" w:rsidRPr="00B57873">
        <w:rPr>
          <w:rFonts w:asciiTheme="minorHAnsi" w:eastAsia="Times New Roman" w:hAnsiTheme="minorHAnsi"/>
        </w:rPr>
        <w:t>b)</w:t>
      </w:r>
      <w:r w:rsidR="004963B3" w:rsidRPr="00B57873">
        <w:rPr>
          <w:rFonts w:asciiTheme="minorHAnsi" w:eastAsia="Times New Roman" w:hAnsiTheme="minorHAnsi"/>
        </w:rPr>
        <w:t xml:space="preserve">…page </w:t>
      </w:r>
      <w:r w:rsidR="007B1BC2" w:rsidRPr="00B57873">
        <w:rPr>
          <w:rFonts w:asciiTheme="minorHAnsi" w:eastAsia="Times New Roman" w:hAnsiTheme="minorHAnsi"/>
        </w:rPr>
        <w:t>330</w:t>
      </w:r>
      <w:r w:rsidR="004963B3" w:rsidRPr="00B57873">
        <w:rPr>
          <w:rFonts w:asciiTheme="minorHAnsi" w:eastAsia="Times New Roman" w:hAnsiTheme="minorHAnsi"/>
        </w:rPr>
        <w:t xml:space="preserve">…states: Walls greater than 3 ft are not allowed </w:t>
      </w:r>
      <w:r w:rsidR="00CF1A1B" w:rsidRPr="00B57873">
        <w:rPr>
          <w:rFonts w:asciiTheme="minorHAnsi" w:eastAsia="Times New Roman" w:hAnsiTheme="minorHAnsi"/>
        </w:rPr>
        <w:t xml:space="preserve">between the front or side façade of a primary building and an abutting public street of parcels with low density in the </w:t>
      </w:r>
      <w:r w:rsidR="004963B3" w:rsidRPr="00B57873">
        <w:rPr>
          <w:rFonts w:asciiTheme="minorHAnsi" w:eastAsia="Times New Roman" w:hAnsiTheme="minorHAnsi"/>
        </w:rPr>
        <w:t>mapped area</w:t>
      </w:r>
      <w:r w:rsidR="00CF1A1B" w:rsidRPr="00B57873">
        <w:rPr>
          <w:rFonts w:asciiTheme="minorHAnsi" w:eastAsia="Times New Roman" w:hAnsiTheme="minorHAnsi"/>
        </w:rPr>
        <w:t xml:space="preserve"> shown</w:t>
      </w:r>
      <w:r w:rsidR="004963B3" w:rsidRPr="00B57873">
        <w:rPr>
          <w:rFonts w:asciiTheme="minorHAnsi" w:eastAsia="Times New Roman" w:hAnsiTheme="minorHAnsi"/>
        </w:rPr>
        <w:t xml:space="preserve"> (Monte Vista and College View Historic District</w:t>
      </w:r>
      <w:r w:rsidR="00CF1A1B" w:rsidRPr="00B57873">
        <w:rPr>
          <w:rFonts w:asciiTheme="minorHAnsi" w:eastAsia="Times New Roman" w:hAnsiTheme="minorHAnsi"/>
        </w:rPr>
        <w:t xml:space="preserve"> is one of the mapped areas</w:t>
      </w:r>
      <w:r w:rsidR="004963B3" w:rsidRPr="00BC480F">
        <w:rPr>
          <w:rFonts w:asciiTheme="minorHAnsi" w:eastAsia="Times New Roman" w:hAnsiTheme="minorHAnsi"/>
        </w:rPr>
        <w:t>)</w:t>
      </w:r>
      <w:r w:rsidR="00CF1A1B" w:rsidRPr="00BC480F">
        <w:rPr>
          <w:rFonts w:asciiTheme="minorHAnsi" w:eastAsia="Times New Roman" w:hAnsiTheme="minorHAnsi"/>
        </w:rPr>
        <w:t xml:space="preserve"> </w:t>
      </w:r>
      <w:r w:rsidR="007443B6" w:rsidRPr="00BC480F">
        <w:rPr>
          <w:rFonts w:asciiTheme="minorHAnsi" w:eastAsia="Times New Roman" w:hAnsiTheme="minorHAnsi"/>
        </w:rPr>
        <w:t>…..</w:t>
      </w:r>
      <w:r w:rsidR="004963B3" w:rsidRPr="00BC480F">
        <w:rPr>
          <w:rFonts w:asciiTheme="minorHAnsi" w:eastAsia="Times New Roman" w:hAnsiTheme="minorHAnsi"/>
        </w:rPr>
        <w:t>this is consistent with the 2007 Sector Plan…</w:t>
      </w:r>
      <w:r w:rsidR="004963B3" w:rsidRPr="00BC480F">
        <w:rPr>
          <w:rFonts w:asciiTheme="minorHAnsi" w:eastAsia="Times New Roman" w:hAnsiTheme="minorHAnsi"/>
          <w:b/>
        </w:rPr>
        <w:t xml:space="preserve">NHNA </w:t>
      </w:r>
      <w:r w:rsidR="002546C8" w:rsidRPr="00BC480F">
        <w:rPr>
          <w:rFonts w:asciiTheme="minorHAnsi" w:eastAsia="Times New Roman" w:hAnsiTheme="minorHAnsi"/>
          <w:b/>
        </w:rPr>
        <w:t>board</w:t>
      </w:r>
      <w:r w:rsidR="004963B3" w:rsidRPr="00BC480F">
        <w:rPr>
          <w:rFonts w:asciiTheme="minorHAnsi" w:eastAsia="Times New Roman" w:hAnsiTheme="minorHAnsi"/>
          <w:b/>
        </w:rPr>
        <w:t xml:space="preserve"> voted 11-0 </w:t>
      </w:r>
      <w:r w:rsidR="004340B4" w:rsidRPr="00BC480F">
        <w:rPr>
          <w:rFonts w:asciiTheme="minorHAnsi" w:eastAsia="Times New Roman" w:hAnsiTheme="minorHAnsi"/>
          <w:b/>
        </w:rPr>
        <w:t xml:space="preserve">in support </w:t>
      </w:r>
      <w:r w:rsidR="00375296" w:rsidRPr="00BC480F">
        <w:rPr>
          <w:rFonts w:asciiTheme="minorHAnsi" w:eastAsia="Times New Roman" w:hAnsiTheme="minorHAnsi"/>
          <w:b/>
        </w:rPr>
        <w:t>but</w:t>
      </w:r>
      <w:r w:rsidR="004340B4" w:rsidRPr="00BC480F">
        <w:rPr>
          <w:rFonts w:asciiTheme="minorHAnsi" w:eastAsia="Times New Roman" w:hAnsiTheme="minorHAnsi"/>
          <w:b/>
        </w:rPr>
        <w:t xml:space="preserve"> </w:t>
      </w:r>
      <w:r w:rsidR="004963B3" w:rsidRPr="00BC480F">
        <w:rPr>
          <w:rFonts w:asciiTheme="minorHAnsi" w:eastAsia="Times New Roman" w:hAnsiTheme="minorHAnsi"/>
          <w:b/>
        </w:rPr>
        <w:t>to apply this provision not only to the Monte Vista and College View Historic District but to the boundaries of the NHNA…</w:t>
      </w:r>
      <w:r w:rsidR="004963B3" w:rsidRPr="00BC480F">
        <w:rPr>
          <w:rFonts w:asciiTheme="minorHAnsi" w:eastAsia="Times New Roman" w:hAnsiTheme="minorHAnsi"/>
        </w:rPr>
        <w:t xml:space="preserve">.in comment 279 staff state: </w:t>
      </w:r>
      <w:r w:rsidR="004963B3" w:rsidRPr="00BC480F">
        <w:rPr>
          <w:rFonts w:asciiTheme="minorHAnsi" w:eastAsia="Times New Roman" w:hAnsiTheme="minorHAnsi"/>
          <w:i/>
        </w:rPr>
        <w:t>“Staff would need direction from decision makers to expand the area where this provision applies.”</w:t>
      </w:r>
    </w:p>
    <w:p w:rsidR="001121F3" w:rsidRPr="00BC480F" w:rsidRDefault="001121F3" w:rsidP="001121F3">
      <w:pPr>
        <w:rPr>
          <w:rFonts w:asciiTheme="minorHAnsi" w:eastAsia="Times New Roman" w:hAnsiTheme="minorHAnsi"/>
          <w:i/>
        </w:rPr>
      </w:pPr>
    </w:p>
    <w:p w:rsidR="0083746F" w:rsidRPr="00BC480F" w:rsidRDefault="00BC480F" w:rsidP="0083746F">
      <w:pPr>
        <w:rPr>
          <w:rFonts w:asciiTheme="minorHAnsi" w:eastAsia="Times New Roman" w:hAnsiTheme="minorHAnsi"/>
        </w:rPr>
      </w:pPr>
      <w:r w:rsidRPr="00BC480F">
        <w:rPr>
          <w:rFonts w:asciiTheme="minorHAnsi" w:eastAsia="Times New Roman" w:hAnsiTheme="minorHAnsi"/>
          <w:b/>
        </w:rPr>
        <w:t xml:space="preserve">4. </w:t>
      </w:r>
      <w:r w:rsidR="00B57873">
        <w:rPr>
          <w:rFonts w:asciiTheme="minorHAnsi" w:eastAsia="Times New Roman" w:hAnsiTheme="minorHAnsi"/>
          <w:b/>
        </w:rPr>
        <w:t>V</w:t>
      </w:r>
      <w:r w:rsidR="0083746F" w:rsidRPr="00BC480F">
        <w:rPr>
          <w:rFonts w:asciiTheme="minorHAnsi" w:eastAsia="Times New Roman" w:hAnsiTheme="minorHAnsi"/>
          <w:b/>
        </w:rPr>
        <w:t xml:space="preserve">iew fencing and </w:t>
      </w:r>
      <w:r w:rsidR="003D30BC" w:rsidRPr="00BC480F">
        <w:rPr>
          <w:rFonts w:asciiTheme="minorHAnsi" w:eastAsia="Times New Roman" w:hAnsiTheme="minorHAnsi"/>
          <w:b/>
        </w:rPr>
        <w:t>c</w:t>
      </w:r>
      <w:r w:rsidR="0083746F" w:rsidRPr="00BC480F">
        <w:rPr>
          <w:rFonts w:asciiTheme="minorHAnsi" w:eastAsia="Times New Roman" w:hAnsiTheme="minorHAnsi"/>
          <w:b/>
        </w:rPr>
        <w:t>ourtyard walls</w:t>
      </w:r>
      <w:r w:rsidR="0083746F" w:rsidRPr="00B57873">
        <w:rPr>
          <w:rFonts w:asciiTheme="minorHAnsi" w:eastAsia="Times New Roman" w:hAnsiTheme="minorHAnsi"/>
        </w:rPr>
        <w:t>…</w:t>
      </w:r>
      <w:r w:rsidR="00B57873" w:rsidRPr="00B57873">
        <w:rPr>
          <w:rFonts w:asciiTheme="minorHAnsi" w:eastAsia="Times New Roman" w:hAnsiTheme="minorHAnsi"/>
        </w:rPr>
        <w:t>Table 5-7-1…page 325…</w:t>
      </w:r>
      <w:r w:rsidR="00415E50" w:rsidRPr="00B57873">
        <w:rPr>
          <w:rFonts w:asciiTheme="minorHAnsi" w:eastAsia="Times New Roman" w:hAnsiTheme="minorHAnsi"/>
        </w:rPr>
        <w:t xml:space="preserve">developed </w:t>
      </w:r>
      <w:r w:rsidR="003D30BC" w:rsidRPr="00B57873">
        <w:rPr>
          <w:rFonts w:asciiTheme="minorHAnsi" w:eastAsia="Times New Roman" w:hAnsiTheme="minorHAnsi"/>
        </w:rPr>
        <w:t>since</w:t>
      </w:r>
      <w:r w:rsidR="00415E50" w:rsidRPr="00B57873">
        <w:rPr>
          <w:rFonts w:asciiTheme="minorHAnsi" w:eastAsia="Times New Roman" w:hAnsiTheme="minorHAnsi"/>
        </w:rPr>
        <w:t xml:space="preserve"> EPC review, </w:t>
      </w:r>
      <w:r w:rsidR="00593BA8" w:rsidRPr="00B57873">
        <w:rPr>
          <w:rFonts w:asciiTheme="minorHAnsi" w:eastAsia="Times New Roman" w:hAnsiTheme="minorHAnsi"/>
        </w:rPr>
        <w:t>changes</w:t>
      </w:r>
      <w:r w:rsidR="00415E50" w:rsidRPr="00B57873">
        <w:rPr>
          <w:rFonts w:asciiTheme="minorHAnsi" w:eastAsia="Times New Roman" w:hAnsiTheme="minorHAnsi"/>
        </w:rPr>
        <w:t xml:space="preserve"> wall</w:t>
      </w:r>
      <w:r w:rsidR="00593BA8" w:rsidRPr="00B57873">
        <w:rPr>
          <w:rFonts w:asciiTheme="minorHAnsi" w:eastAsia="Times New Roman" w:hAnsiTheme="minorHAnsi"/>
        </w:rPr>
        <w:t>s</w:t>
      </w:r>
      <w:r w:rsidR="00415E50" w:rsidRPr="00B57873">
        <w:rPr>
          <w:rFonts w:asciiTheme="minorHAnsi" w:eastAsia="Times New Roman" w:hAnsiTheme="minorHAnsi"/>
        </w:rPr>
        <w:t xml:space="preserve"> that are currently conditional </w:t>
      </w:r>
      <w:r w:rsidR="00593BA8" w:rsidRPr="00B57873">
        <w:rPr>
          <w:rFonts w:asciiTheme="minorHAnsi" w:eastAsia="Times New Roman" w:hAnsiTheme="minorHAnsi"/>
        </w:rPr>
        <w:t xml:space="preserve">to </w:t>
      </w:r>
      <w:r w:rsidR="00415E50" w:rsidRPr="00B57873">
        <w:rPr>
          <w:rFonts w:asciiTheme="minorHAnsi" w:eastAsia="Times New Roman" w:hAnsiTheme="minorHAnsi"/>
        </w:rPr>
        <w:t>permissive</w:t>
      </w:r>
      <w:r w:rsidR="00A12BB2" w:rsidRPr="00B57873">
        <w:rPr>
          <w:rFonts w:asciiTheme="minorHAnsi" w:eastAsia="Times New Roman" w:hAnsiTheme="minorHAnsi"/>
        </w:rPr>
        <w:t>;</w:t>
      </w:r>
      <w:r w:rsidR="008D577E" w:rsidRPr="00B57873">
        <w:rPr>
          <w:rFonts w:asciiTheme="minorHAnsi" w:eastAsia="Times New Roman" w:hAnsiTheme="minorHAnsi"/>
        </w:rPr>
        <w:t xml:space="preserve"> </w:t>
      </w:r>
      <w:r w:rsidR="003D30BC" w:rsidRPr="00B57873">
        <w:rPr>
          <w:rFonts w:asciiTheme="minorHAnsi" w:eastAsia="Times New Roman" w:hAnsiTheme="minorHAnsi"/>
        </w:rPr>
        <w:t>(r</w:t>
      </w:r>
      <w:r w:rsidR="00593BA8" w:rsidRPr="00B57873">
        <w:rPr>
          <w:rFonts w:asciiTheme="minorHAnsi" w:eastAsia="Times New Roman" w:hAnsiTheme="minorHAnsi"/>
        </w:rPr>
        <w:t>eference s</w:t>
      </w:r>
      <w:r w:rsidR="00A12BB2" w:rsidRPr="00B57873">
        <w:rPr>
          <w:rFonts w:asciiTheme="minorHAnsi" w:eastAsia="Times New Roman" w:hAnsiTheme="minorHAnsi"/>
        </w:rPr>
        <w:t>ectio</w:t>
      </w:r>
      <w:r w:rsidR="003D30BC" w:rsidRPr="00B57873">
        <w:rPr>
          <w:rFonts w:asciiTheme="minorHAnsi" w:eastAsia="Times New Roman" w:hAnsiTheme="minorHAnsi"/>
        </w:rPr>
        <w:t>n 14-16-2-6 of the current code</w:t>
      </w:r>
      <w:r w:rsidR="005C5A9F">
        <w:rPr>
          <w:rFonts w:asciiTheme="minorHAnsi" w:eastAsia="Times New Roman" w:hAnsiTheme="minorHAnsi"/>
        </w:rPr>
        <w:t>, conditional uses in R-1</w:t>
      </w:r>
      <w:r w:rsidR="003D30BC" w:rsidRPr="00B57873">
        <w:rPr>
          <w:rFonts w:asciiTheme="minorHAnsi" w:eastAsia="Times New Roman" w:hAnsiTheme="minorHAnsi"/>
        </w:rPr>
        <w:t>).</w:t>
      </w:r>
      <w:r w:rsidR="00A12BB2" w:rsidRPr="00B57873">
        <w:rPr>
          <w:rFonts w:asciiTheme="minorHAnsi" w:eastAsia="Times New Roman" w:hAnsiTheme="minorHAnsi"/>
        </w:rPr>
        <w:t xml:space="preserve"> </w:t>
      </w:r>
      <w:r w:rsidR="008D577E" w:rsidRPr="00B57873">
        <w:rPr>
          <w:rFonts w:asciiTheme="minorHAnsi" w:eastAsia="Times New Roman" w:hAnsiTheme="minorHAnsi"/>
        </w:rPr>
        <w:t>The only permissive wall today in a front setback is 3 feet high</w:t>
      </w:r>
      <w:r w:rsidR="00415E50" w:rsidRPr="00B57873">
        <w:rPr>
          <w:rFonts w:asciiTheme="minorHAnsi" w:eastAsia="Times New Roman" w:hAnsiTheme="minorHAnsi"/>
        </w:rPr>
        <w:t xml:space="preserve">. </w:t>
      </w:r>
      <w:r w:rsidR="0083746F" w:rsidRPr="00B57873">
        <w:rPr>
          <w:rFonts w:asciiTheme="minorHAnsi" w:eastAsia="Times New Roman" w:hAnsiTheme="minorHAnsi"/>
        </w:rPr>
        <w:t xml:space="preserve">NHNA routinely opposes special exceptions for walls </w:t>
      </w:r>
      <w:r w:rsidR="00587E0C" w:rsidRPr="00B57873">
        <w:rPr>
          <w:rFonts w:asciiTheme="minorHAnsi" w:eastAsia="Times New Roman" w:hAnsiTheme="minorHAnsi"/>
        </w:rPr>
        <w:t>above 3 feet</w:t>
      </w:r>
      <w:r w:rsidR="003D30BC" w:rsidRPr="00B57873">
        <w:rPr>
          <w:rFonts w:asciiTheme="minorHAnsi" w:eastAsia="Times New Roman" w:hAnsiTheme="minorHAnsi"/>
        </w:rPr>
        <w:t xml:space="preserve"> in front setbacks</w:t>
      </w:r>
      <w:r w:rsidR="00593BA8" w:rsidRPr="00B57873">
        <w:rPr>
          <w:rFonts w:asciiTheme="minorHAnsi" w:eastAsia="Times New Roman" w:hAnsiTheme="minorHAnsi"/>
        </w:rPr>
        <w:t xml:space="preserve"> because</w:t>
      </w:r>
      <w:r w:rsidR="0083746F" w:rsidRPr="00B57873">
        <w:rPr>
          <w:rFonts w:asciiTheme="minorHAnsi" w:eastAsia="Times New Roman" w:hAnsiTheme="minorHAnsi"/>
        </w:rPr>
        <w:t xml:space="preserve"> they </w:t>
      </w:r>
      <w:r w:rsidR="00593BA8" w:rsidRPr="00B57873">
        <w:rPr>
          <w:rFonts w:asciiTheme="minorHAnsi" w:eastAsia="Times New Roman" w:hAnsiTheme="minorHAnsi"/>
        </w:rPr>
        <w:t>are injurious to the community</w:t>
      </w:r>
      <w:r w:rsidR="0083746F" w:rsidRPr="00B57873">
        <w:rPr>
          <w:rFonts w:asciiTheme="minorHAnsi" w:eastAsia="Times New Roman" w:hAnsiTheme="minorHAnsi"/>
        </w:rPr>
        <w:t xml:space="preserve"> by damaging streetscape and security (eyes on the street). Our boundaries overlap with SEHNA. On a request for a property in the overlap area </w:t>
      </w:r>
      <w:r w:rsidR="008D577E" w:rsidRPr="00B57873">
        <w:rPr>
          <w:rFonts w:asciiTheme="minorHAnsi" w:eastAsia="Times New Roman" w:hAnsiTheme="minorHAnsi"/>
        </w:rPr>
        <w:t xml:space="preserve">in 2015 </w:t>
      </w:r>
      <w:r w:rsidR="0083746F" w:rsidRPr="00B57873">
        <w:rPr>
          <w:rFonts w:asciiTheme="minorHAnsi" w:eastAsia="Times New Roman" w:hAnsiTheme="minorHAnsi"/>
        </w:rPr>
        <w:t>SEHNA indicated that they have a blanket opposition to walls over 3 ft in front setbacks</w:t>
      </w:r>
      <w:r w:rsidR="0083746F" w:rsidRPr="00BC480F">
        <w:rPr>
          <w:rFonts w:asciiTheme="minorHAnsi" w:eastAsia="Times New Roman" w:hAnsiTheme="minorHAnsi"/>
        </w:rPr>
        <w:t xml:space="preserve">. </w:t>
      </w:r>
      <w:r w:rsidR="0083746F" w:rsidRPr="00BC480F">
        <w:rPr>
          <w:rFonts w:asciiTheme="minorHAnsi" w:eastAsia="Times New Roman" w:hAnsiTheme="minorHAnsi"/>
          <w:b/>
        </w:rPr>
        <w:t xml:space="preserve">NHNA board voted </w:t>
      </w:r>
      <w:r w:rsidR="00415E50" w:rsidRPr="00BC480F">
        <w:rPr>
          <w:rFonts w:asciiTheme="minorHAnsi" w:eastAsia="Times New Roman" w:hAnsiTheme="minorHAnsi"/>
          <w:b/>
        </w:rPr>
        <w:t>8-0</w:t>
      </w:r>
      <w:r w:rsidR="0083746F" w:rsidRPr="00BC480F">
        <w:rPr>
          <w:rFonts w:asciiTheme="minorHAnsi" w:eastAsia="Times New Roman" w:hAnsiTheme="minorHAnsi"/>
          <w:b/>
        </w:rPr>
        <w:t xml:space="preserve"> to state in the strongest terms that </w:t>
      </w:r>
      <w:r w:rsidR="00593BA8" w:rsidRPr="00BC480F">
        <w:rPr>
          <w:rFonts w:asciiTheme="minorHAnsi" w:eastAsia="Times New Roman" w:hAnsiTheme="minorHAnsi"/>
          <w:b/>
        </w:rPr>
        <w:t>making v</w:t>
      </w:r>
      <w:r w:rsidR="00587E0C" w:rsidRPr="00BC480F">
        <w:rPr>
          <w:rFonts w:asciiTheme="minorHAnsi" w:eastAsia="Times New Roman" w:hAnsiTheme="minorHAnsi"/>
          <w:b/>
        </w:rPr>
        <w:t xml:space="preserve">iew fencing and </w:t>
      </w:r>
      <w:r w:rsidR="00593BA8" w:rsidRPr="00BC480F">
        <w:rPr>
          <w:rFonts w:asciiTheme="minorHAnsi" w:eastAsia="Times New Roman" w:hAnsiTheme="minorHAnsi"/>
          <w:b/>
        </w:rPr>
        <w:t>c</w:t>
      </w:r>
      <w:r w:rsidR="00587E0C" w:rsidRPr="00BC480F">
        <w:rPr>
          <w:rFonts w:asciiTheme="minorHAnsi" w:eastAsia="Times New Roman" w:hAnsiTheme="minorHAnsi"/>
          <w:b/>
        </w:rPr>
        <w:t>ourtyard wall</w:t>
      </w:r>
      <w:r w:rsidR="00593BA8" w:rsidRPr="00BC480F">
        <w:rPr>
          <w:rFonts w:asciiTheme="minorHAnsi" w:eastAsia="Times New Roman" w:hAnsiTheme="minorHAnsi"/>
          <w:b/>
        </w:rPr>
        <w:t>s</w:t>
      </w:r>
      <w:r w:rsidR="0083746F" w:rsidRPr="00BC480F">
        <w:rPr>
          <w:rFonts w:asciiTheme="minorHAnsi" w:eastAsia="Times New Roman" w:hAnsiTheme="minorHAnsi"/>
          <w:b/>
        </w:rPr>
        <w:t xml:space="preserve"> permissive would have </w:t>
      </w:r>
      <w:r w:rsidR="00415E50" w:rsidRPr="00BC480F">
        <w:rPr>
          <w:rFonts w:asciiTheme="minorHAnsi" w:eastAsia="Times New Roman" w:hAnsiTheme="minorHAnsi"/>
          <w:b/>
        </w:rPr>
        <w:t>MAJOR NEGATIVE IMPACTS ON STREETSCAPE AND SECURITY (EYES ON THE STREET)</w:t>
      </w:r>
      <w:r w:rsidR="0083746F" w:rsidRPr="00BC480F">
        <w:rPr>
          <w:rFonts w:asciiTheme="minorHAnsi" w:eastAsia="Times New Roman" w:hAnsiTheme="minorHAnsi"/>
          <w:b/>
        </w:rPr>
        <w:t xml:space="preserve"> and to </w:t>
      </w:r>
      <w:r w:rsidR="00415E50" w:rsidRPr="00BC480F">
        <w:rPr>
          <w:rFonts w:asciiTheme="minorHAnsi" w:eastAsia="Times New Roman" w:hAnsiTheme="minorHAnsi"/>
          <w:b/>
        </w:rPr>
        <w:t>modify the table</w:t>
      </w:r>
      <w:r w:rsidR="0083746F" w:rsidRPr="00BC480F">
        <w:rPr>
          <w:rFonts w:asciiTheme="minorHAnsi" w:eastAsia="Times New Roman" w:hAnsiTheme="minorHAnsi"/>
          <w:b/>
        </w:rPr>
        <w:t xml:space="preserve"> as </w:t>
      </w:r>
      <w:r w:rsidR="00415E50" w:rsidRPr="00BC480F">
        <w:rPr>
          <w:rFonts w:asciiTheme="minorHAnsi" w:eastAsia="Times New Roman" w:hAnsiTheme="minorHAnsi"/>
          <w:b/>
        </w:rPr>
        <w:t>reflecting</w:t>
      </w:r>
      <w:r w:rsidR="0083746F" w:rsidRPr="00BC480F">
        <w:rPr>
          <w:rFonts w:asciiTheme="minorHAnsi" w:eastAsia="Times New Roman" w:hAnsiTheme="minorHAnsi"/>
          <w:b/>
        </w:rPr>
        <w:t xml:space="preserve"> </w:t>
      </w:r>
      <w:r w:rsidR="00415E50" w:rsidRPr="00BC480F">
        <w:rPr>
          <w:rFonts w:asciiTheme="minorHAnsi" w:eastAsia="Times New Roman" w:hAnsiTheme="minorHAnsi"/>
          <w:b/>
        </w:rPr>
        <w:t>conditional use o</w:t>
      </w:r>
      <w:r w:rsidR="0083746F" w:rsidRPr="00BC480F">
        <w:rPr>
          <w:rFonts w:asciiTheme="minorHAnsi" w:eastAsia="Times New Roman" w:hAnsiTheme="minorHAnsi"/>
          <w:b/>
        </w:rPr>
        <w:t xml:space="preserve">r, preferably, to remove </w:t>
      </w:r>
      <w:r w:rsidR="00587E0C" w:rsidRPr="00BC480F">
        <w:rPr>
          <w:rFonts w:asciiTheme="minorHAnsi" w:eastAsia="Times New Roman" w:hAnsiTheme="minorHAnsi"/>
          <w:b/>
        </w:rPr>
        <w:t xml:space="preserve">that portion of </w:t>
      </w:r>
      <w:r w:rsidR="0083746F" w:rsidRPr="00BC480F">
        <w:rPr>
          <w:rFonts w:asciiTheme="minorHAnsi" w:eastAsia="Times New Roman" w:hAnsiTheme="minorHAnsi"/>
          <w:b/>
        </w:rPr>
        <w:t>the table.</w:t>
      </w:r>
      <w:r w:rsidR="008D577E" w:rsidRPr="00BC480F">
        <w:rPr>
          <w:rFonts w:asciiTheme="minorHAnsi" w:eastAsia="Times New Roman" w:hAnsiTheme="minorHAnsi"/>
        </w:rPr>
        <w:t xml:space="preserve"> Even though walls over 3 f</w:t>
      </w:r>
      <w:r w:rsidR="00040A48" w:rsidRPr="00BC480F">
        <w:rPr>
          <w:rFonts w:asciiTheme="minorHAnsi" w:eastAsia="Times New Roman" w:hAnsiTheme="minorHAnsi"/>
        </w:rPr>
        <w:t>e</w:t>
      </w:r>
      <w:r w:rsidR="008D577E" w:rsidRPr="00BC480F">
        <w:rPr>
          <w:rFonts w:asciiTheme="minorHAnsi" w:eastAsia="Times New Roman" w:hAnsiTheme="minorHAnsi"/>
        </w:rPr>
        <w:t xml:space="preserve">et in front setbacks </w:t>
      </w:r>
      <w:r w:rsidR="003D30BC" w:rsidRPr="00BC480F">
        <w:rPr>
          <w:rFonts w:asciiTheme="minorHAnsi" w:eastAsia="Times New Roman" w:hAnsiTheme="minorHAnsi"/>
        </w:rPr>
        <w:t>are</w:t>
      </w:r>
      <w:r w:rsidR="00593BA8" w:rsidRPr="00BC480F">
        <w:rPr>
          <w:rFonts w:asciiTheme="minorHAnsi" w:eastAsia="Times New Roman" w:hAnsiTheme="minorHAnsi"/>
        </w:rPr>
        <w:t xml:space="preserve"> </w:t>
      </w:r>
      <w:r w:rsidR="008D577E" w:rsidRPr="00BC480F">
        <w:rPr>
          <w:rFonts w:asciiTheme="minorHAnsi" w:eastAsia="Times New Roman" w:hAnsiTheme="minorHAnsi"/>
        </w:rPr>
        <w:lastRenderedPageBreak/>
        <w:t xml:space="preserve">prohibited in Nob Hill this table, </w:t>
      </w:r>
      <w:r w:rsidR="006D3300" w:rsidRPr="00BC480F">
        <w:rPr>
          <w:rFonts w:asciiTheme="minorHAnsi" w:eastAsia="Times New Roman" w:hAnsiTheme="minorHAnsi"/>
        </w:rPr>
        <w:t>if applied to</w:t>
      </w:r>
      <w:r w:rsidR="008D577E" w:rsidRPr="00BC480F">
        <w:rPr>
          <w:rFonts w:asciiTheme="minorHAnsi" w:eastAsia="Times New Roman" w:hAnsiTheme="minorHAnsi"/>
        </w:rPr>
        <w:t xml:space="preserve"> permissive use, </w:t>
      </w:r>
      <w:r w:rsidR="00040A48" w:rsidRPr="00BC480F">
        <w:rPr>
          <w:rFonts w:asciiTheme="minorHAnsi" w:eastAsia="Times New Roman" w:hAnsiTheme="minorHAnsi"/>
        </w:rPr>
        <w:t xml:space="preserve">is injurious to </w:t>
      </w:r>
      <w:r w:rsidR="006D3300" w:rsidRPr="00BC480F">
        <w:rPr>
          <w:rFonts w:asciiTheme="minorHAnsi" w:eastAsia="Times New Roman" w:hAnsiTheme="minorHAnsi"/>
        </w:rPr>
        <w:t>the rest of</w:t>
      </w:r>
      <w:r w:rsidR="00415E50" w:rsidRPr="00BC480F">
        <w:rPr>
          <w:rFonts w:asciiTheme="minorHAnsi" w:eastAsia="Times New Roman" w:hAnsiTheme="minorHAnsi"/>
        </w:rPr>
        <w:t xml:space="preserve"> </w:t>
      </w:r>
      <w:r w:rsidR="00040A48" w:rsidRPr="00BC480F">
        <w:rPr>
          <w:rFonts w:asciiTheme="minorHAnsi" w:eastAsia="Times New Roman" w:hAnsiTheme="minorHAnsi"/>
        </w:rPr>
        <w:t>Albuquerque.</w:t>
      </w:r>
    </w:p>
    <w:p w:rsidR="00593BA8" w:rsidRPr="00BC480F" w:rsidRDefault="00593BA8" w:rsidP="0083746F">
      <w:pPr>
        <w:rPr>
          <w:rFonts w:asciiTheme="minorHAnsi" w:eastAsia="Times New Roman" w:hAnsiTheme="minorHAnsi"/>
        </w:rPr>
      </w:pPr>
    </w:p>
    <w:p w:rsidR="00593BA8" w:rsidRPr="00BC480F" w:rsidRDefault="00593BA8" w:rsidP="00CD1003">
      <w:pPr>
        <w:pStyle w:val="ListParagraph"/>
        <w:numPr>
          <w:ilvl w:val="0"/>
          <w:numId w:val="18"/>
        </w:numPr>
        <w:rPr>
          <w:rFonts w:asciiTheme="minorHAnsi" w:eastAsia="Times New Roman" w:hAnsiTheme="minorHAnsi"/>
        </w:rPr>
      </w:pPr>
      <w:r w:rsidRPr="00BC480F">
        <w:rPr>
          <w:rFonts w:asciiTheme="minorHAnsi" w:eastAsia="Times New Roman" w:hAnsiTheme="minorHAnsi"/>
        </w:rPr>
        <w:t xml:space="preserve">A large part of </w:t>
      </w:r>
      <w:r w:rsidR="001A4EB0" w:rsidRPr="00BC480F">
        <w:rPr>
          <w:rFonts w:asciiTheme="minorHAnsi" w:eastAsia="Times New Roman" w:hAnsiTheme="minorHAnsi"/>
        </w:rPr>
        <w:t>our</w:t>
      </w:r>
      <w:r w:rsidRPr="00BC480F">
        <w:rPr>
          <w:rFonts w:asciiTheme="minorHAnsi" w:eastAsia="Times New Roman" w:hAnsiTheme="minorHAnsi"/>
        </w:rPr>
        <w:t xml:space="preserve"> city was developed </w:t>
      </w:r>
      <w:r w:rsidR="008F517D" w:rsidRPr="00BC480F">
        <w:rPr>
          <w:rFonts w:asciiTheme="minorHAnsi" w:eastAsia="Times New Roman" w:hAnsiTheme="minorHAnsi"/>
        </w:rPr>
        <w:t>more than</w:t>
      </w:r>
      <w:r w:rsidRPr="00BC480F">
        <w:rPr>
          <w:rFonts w:asciiTheme="minorHAnsi" w:eastAsia="Times New Roman" w:hAnsiTheme="minorHAnsi"/>
        </w:rPr>
        <w:t xml:space="preserve"> 50 years ago (1967). The Historic Preservation Act declares resources 50 years or older worthy of preservation if they convey their period of significance and display design principles of their period. Walls over 3 feet high in front setbacks were not among the principles of design</w:t>
      </w:r>
      <w:r w:rsidR="008F517D" w:rsidRPr="00BC480F">
        <w:rPr>
          <w:rFonts w:asciiTheme="minorHAnsi" w:eastAsia="Times New Roman" w:hAnsiTheme="minorHAnsi"/>
        </w:rPr>
        <w:t xml:space="preserve"> in those neighborhoods</w:t>
      </w:r>
      <w:r w:rsidRPr="00BC480F">
        <w:rPr>
          <w:rFonts w:asciiTheme="minorHAnsi" w:eastAsia="Times New Roman" w:hAnsiTheme="minorHAnsi"/>
        </w:rPr>
        <w:t xml:space="preserve"> and diminish the unique character of neighborhoods. When neighborhoods become registered in the NM Register of Cultural Places owners become eligible for 50% tax credits </w:t>
      </w:r>
      <w:r w:rsidR="008F517D" w:rsidRPr="00BC480F">
        <w:rPr>
          <w:rFonts w:asciiTheme="minorHAnsi" w:eastAsia="Times New Roman" w:hAnsiTheme="minorHAnsi"/>
        </w:rPr>
        <w:t>for renovating houses</w:t>
      </w:r>
      <w:r w:rsidR="00456E86" w:rsidRPr="00BC480F">
        <w:rPr>
          <w:rFonts w:asciiTheme="minorHAnsi" w:eastAsia="Times New Roman" w:hAnsiTheme="minorHAnsi"/>
        </w:rPr>
        <w:t xml:space="preserve">. Injuring streetscapes </w:t>
      </w:r>
      <w:r w:rsidR="00F64483" w:rsidRPr="00BC480F">
        <w:rPr>
          <w:rFonts w:asciiTheme="minorHAnsi" w:eastAsia="Times New Roman" w:hAnsiTheme="minorHAnsi"/>
        </w:rPr>
        <w:t>by building</w:t>
      </w:r>
      <w:r w:rsidR="00456E86" w:rsidRPr="00BC480F">
        <w:rPr>
          <w:rFonts w:asciiTheme="minorHAnsi" w:eastAsia="Times New Roman" w:hAnsiTheme="minorHAnsi"/>
        </w:rPr>
        <w:t xml:space="preserve"> walls over 3 feet high in front setbacks makes</w:t>
      </w:r>
      <w:r w:rsidR="001A4EB0" w:rsidRPr="00BC480F">
        <w:rPr>
          <w:rFonts w:asciiTheme="minorHAnsi" w:eastAsia="Times New Roman" w:hAnsiTheme="minorHAnsi"/>
        </w:rPr>
        <w:t xml:space="preserve"> listing less likely making these </w:t>
      </w:r>
      <w:r w:rsidR="00456E86" w:rsidRPr="00BC480F">
        <w:rPr>
          <w:rFonts w:asciiTheme="minorHAnsi" w:eastAsia="Times New Roman" w:hAnsiTheme="minorHAnsi"/>
        </w:rPr>
        <w:t>benefits</w:t>
      </w:r>
      <w:r w:rsidR="008F517D" w:rsidRPr="00BC480F">
        <w:rPr>
          <w:rFonts w:asciiTheme="minorHAnsi" w:eastAsia="Times New Roman" w:hAnsiTheme="minorHAnsi"/>
        </w:rPr>
        <w:t xml:space="preserve"> unavailable</w:t>
      </w:r>
      <w:r w:rsidR="00F64483" w:rsidRPr="00BC480F">
        <w:rPr>
          <w:rFonts w:asciiTheme="minorHAnsi" w:eastAsia="Times New Roman" w:hAnsiTheme="minorHAnsi"/>
        </w:rPr>
        <w:t>. It diminishes</w:t>
      </w:r>
      <w:r w:rsidR="00456E86" w:rsidRPr="00BC480F">
        <w:rPr>
          <w:rFonts w:asciiTheme="minorHAnsi" w:eastAsia="Times New Roman" w:hAnsiTheme="minorHAnsi"/>
        </w:rPr>
        <w:t xml:space="preserve"> the underlying cultural resource</w:t>
      </w:r>
      <w:r w:rsidR="00F64483" w:rsidRPr="00BC480F">
        <w:rPr>
          <w:rFonts w:asciiTheme="minorHAnsi" w:eastAsia="Times New Roman" w:hAnsiTheme="minorHAnsi"/>
        </w:rPr>
        <w:t xml:space="preserve"> which hurts community stability and property value</w:t>
      </w:r>
      <w:r w:rsidR="00456E86" w:rsidRPr="00BC480F">
        <w:rPr>
          <w:rFonts w:asciiTheme="minorHAnsi" w:eastAsia="Times New Roman" w:hAnsiTheme="minorHAnsi"/>
        </w:rPr>
        <w:t>.</w:t>
      </w:r>
    </w:p>
    <w:p w:rsidR="00456E86" w:rsidRPr="00BC480F" w:rsidRDefault="00456E86" w:rsidP="0083746F">
      <w:pPr>
        <w:rPr>
          <w:rFonts w:asciiTheme="minorHAnsi" w:eastAsia="Times New Roman" w:hAnsiTheme="minorHAnsi"/>
        </w:rPr>
      </w:pPr>
    </w:p>
    <w:p w:rsidR="00456E86" w:rsidRPr="00BC480F" w:rsidRDefault="00456E86" w:rsidP="00CD1003">
      <w:pPr>
        <w:pStyle w:val="ListParagraph"/>
        <w:numPr>
          <w:ilvl w:val="0"/>
          <w:numId w:val="18"/>
        </w:numPr>
        <w:rPr>
          <w:rFonts w:asciiTheme="minorHAnsi" w:eastAsia="Times New Roman" w:hAnsiTheme="minorHAnsi"/>
        </w:rPr>
      </w:pPr>
      <w:r w:rsidRPr="00BC480F">
        <w:rPr>
          <w:rFonts w:asciiTheme="minorHAnsi" w:eastAsia="Times New Roman" w:hAnsiTheme="minorHAnsi"/>
        </w:rPr>
        <w:t xml:space="preserve">Jane Jacobs, in </w:t>
      </w:r>
      <w:r w:rsidRPr="00BC480F">
        <w:rPr>
          <w:rFonts w:asciiTheme="minorHAnsi" w:eastAsia="Times New Roman" w:hAnsiTheme="minorHAnsi"/>
          <w:i/>
        </w:rPr>
        <w:t>Death and Life of Great American Cities</w:t>
      </w:r>
      <w:r w:rsidRPr="00BC480F">
        <w:rPr>
          <w:rFonts w:asciiTheme="minorHAnsi" w:eastAsia="Times New Roman" w:hAnsiTheme="minorHAnsi"/>
        </w:rPr>
        <w:t xml:space="preserve">, </w:t>
      </w:r>
      <w:r w:rsidR="001A4EB0" w:rsidRPr="00BC480F">
        <w:rPr>
          <w:rFonts w:asciiTheme="minorHAnsi" w:eastAsia="Times New Roman" w:hAnsiTheme="minorHAnsi"/>
        </w:rPr>
        <w:t xml:space="preserve">makes the case for </w:t>
      </w:r>
      <w:r w:rsidRPr="00BC480F">
        <w:rPr>
          <w:rFonts w:asciiTheme="minorHAnsi" w:eastAsia="Times New Roman" w:hAnsiTheme="minorHAnsi"/>
        </w:rPr>
        <w:t xml:space="preserve">eyes on the street </w:t>
      </w:r>
      <w:r w:rsidR="005031D8" w:rsidRPr="00BC480F">
        <w:rPr>
          <w:rFonts w:asciiTheme="minorHAnsi" w:eastAsia="Times New Roman" w:hAnsiTheme="minorHAnsi"/>
        </w:rPr>
        <w:t>as a deterrent to crime</w:t>
      </w:r>
      <w:r w:rsidR="008F517D" w:rsidRPr="00BC480F">
        <w:rPr>
          <w:rFonts w:asciiTheme="minorHAnsi" w:eastAsia="Times New Roman" w:hAnsiTheme="minorHAnsi"/>
        </w:rPr>
        <w:t xml:space="preserve">. Walls over 3 ft high in front setbacks diminish </w:t>
      </w:r>
      <w:r w:rsidR="005031D8" w:rsidRPr="00BC480F">
        <w:rPr>
          <w:rFonts w:asciiTheme="minorHAnsi" w:eastAsia="Times New Roman" w:hAnsiTheme="minorHAnsi"/>
        </w:rPr>
        <w:t>eyes</w:t>
      </w:r>
      <w:r w:rsidR="008F517D" w:rsidRPr="00BC480F">
        <w:rPr>
          <w:rFonts w:asciiTheme="minorHAnsi" w:eastAsia="Times New Roman" w:hAnsiTheme="minorHAnsi"/>
        </w:rPr>
        <w:t xml:space="preserve"> on the street. Attached is piece which NHNA has published in </w:t>
      </w:r>
      <w:r w:rsidR="005031D8" w:rsidRPr="00BC480F">
        <w:rPr>
          <w:rFonts w:asciiTheme="minorHAnsi" w:eastAsia="Times New Roman" w:hAnsiTheme="minorHAnsi"/>
        </w:rPr>
        <w:t xml:space="preserve">the last 10 issues of </w:t>
      </w:r>
      <w:r w:rsidR="008F517D" w:rsidRPr="00BC480F">
        <w:rPr>
          <w:rFonts w:asciiTheme="minorHAnsi" w:eastAsia="Times New Roman" w:hAnsiTheme="minorHAnsi"/>
        </w:rPr>
        <w:t>its biannual newsletter.</w:t>
      </w:r>
      <w:r w:rsidRPr="00BC480F">
        <w:rPr>
          <w:rFonts w:asciiTheme="minorHAnsi" w:eastAsia="Times New Roman" w:hAnsiTheme="minorHAnsi"/>
        </w:rPr>
        <w:t xml:space="preserve"> </w:t>
      </w:r>
    </w:p>
    <w:p w:rsidR="001121F3" w:rsidRPr="00BC480F" w:rsidRDefault="001121F3" w:rsidP="001121F3">
      <w:pPr>
        <w:rPr>
          <w:rFonts w:asciiTheme="minorHAnsi" w:eastAsia="Times New Roman" w:hAnsiTheme="minorHAnsi"/>
          <w:i/>
          <w:color w:val="000000"/>
        </w:rPr>
      </w:pPr>
    </w:p>
    <w:p w:rsidR="001121F3" w:rsidRPr="00B57873" w:rsidRDefault="0083746F" w:rsidP="001121F3">
      <w:pPr>
        <w:rPr>
          <w:rFonts w:asciiTheme="minorHAnsi" w:eastAsia="Times New Roman" w:hAnsiTheme="minorHAnsi"/>
        </w:rPr>
      </w:pPr>
      <w:r w:rsidRPr="00BC480F">
        <w:rPr>
          <w:rFonts w:asciiTheme="minorHAnsi" w:eastAsia="Times New Roman" w:hAnsiTheme="minorHAnsi"/>
          <w:b/>
        </w:rPr>
        <w:t>5</w:t>
      </w:r>
      <w:r w:rsidR="00BC480F" w:rsidRPr="00BC480F">
        <w:rPr>
          <w:rFonts w:asciiTheme="minorHAnsi" w:eastAsia="Times New Roman" w:hAnsiTheme="minorHAnsi"/>
          <w:b/>
        </w:rPr>
        <w:t xml:space="preserve">. </w:t>
      </w:r>
      <w:r w:rsidR="001121F3" w:rsidRPr="00BC480F">
        <w:rPr>
          <w:rFonts w:asciiTheme="minorHAnsi" w:eastAsia="Times New Roman" w:hAnsiTheme="minorHAnsi"/>
          <w:b/>
        </w:rPr>
        <w:t>Front setback, R-T and R-1</w:t>
      </w:r>
      <w:r w:rsidR="001121F3" w:rsidRPr="00B57873">
        <w:rPr>
          <w:rFonts w:asciiTheme="minorHAnsi" w:eastAsia="Times New Roman" w:hAnsiTheme="minorHAnsi"/>
        </w:rPr>
        <w:t>…</w:t>
      </w:r>
      <w:r w:rsidR="007D0446" w:rsidRPr="00B57873">
        <w:rPr>
          <w:rFonts w:asciiTheme="minorHAnsi" w:eastAsia="Times New Roman" w:hAnsiTheme="minorHAnsi"/>
        </w:rPr>
        <w:t>NHNA Board voted 8-0 to k</w:t>
      </w:r>
      <w:r w:rsidR="001121F3" w:rsidRPr="00B57873">
        <w:rPr>
          <w:rFonts w:asciiTheme="minorHAnsi" w:eastAsia="Times New Roman" w:hAnsiTheme="minorHAnsi"/>
        </w:rPr>
        <w:t>eep front setback for principal building and garage in NHNA boundaries at 20 feet as it has been since its platting between 1916 and 1945. The universal 20 ft front setback is crucial to preserving the integrity of association and integrity of design of Nob Hill</w:t>
      </w:r>
      <w:r w:rsidR="00415E50" w:rsidRPr="00B57873">
        <w:rPr>
          <w:rFonts w:asciiTheme="minorHAnsi" w:eastAsia="Times New Roman" w:hAnsiTheme="minorHAnsi"/>
        </w:rPr>
        <w:t>.</w:t>
      </w:r>
      <w:r w:rsidR="00883985" w:rsidRPr="00B57873">
        <w:rPr>
          <w:rFonts w:asciiTheme="minorHAnsi" w:eastAsia="Times New Roman" w:hAnsiTheme="minorHAnsi"/>
        </w:rPr>
        <w:t xml:space="preserve"> NHNA needs further coordination with staff to confirm whether the draft accomplishes this.</w:t>
      </w:r>
    </w:p>
    <w:p w:rsidR="001121F3" w:rsidRPr="00BC480F" w:rsidRDefault="001121F3" w:rsidP="001121F3">
      <w:pPr>
        <w:rPr>
          <w:rFonts w:asciiTheme="minorHAnsi" w:eastAsia="Times New Roman" w:hAnsiTheme="minorHAnsi"/>
        </w:rPr>
      </w:pPr>
    </w:p>
    <w:p w:rsidR="001121F3" w:rsidRPr="00BC480F" w:rsidRDefault="00CE09CE" w:rsidP="00CE09CE">
      <w:pPr>
        <w:rPr>
          <w:rFonts w:asciiTheme="minorHAnsi" w:eastAsia="Times New Roman" w:hAnsiTheme="minorHAnsi"/>
        </w:rPr>
      </w:pPr>
      <w:r w:rsidRPr="00BC480F">
        <w:rPr>
          <w:rFonts w:asciiTheme="minorHAnsi" w:eastAsia="Times New Roman" w:hAnsiTheme="minorHAnsi"/>
          <w:b/>
        </w:rPr>
        <w:t>6</w:t>
      </w:r>
      <w:r w:rsidR="00BC480F" w:rsidRPr="00BC480F">
        <w:rPr>
          <w:rFonts w:asciiTheme="minorHAnsi" w:eastAsia="Times New Roman" w:hAnsiTheme="minorHAnsi"/>
          <w:b/>
        </w:rPr>
        <w:t xml:space="preserve">. </w:t>
      </w:r>
      <w:r w:rsidR="00883985" w:rsidRPr="00BC480F">
        <w:rPr>
          <w:rFonts w:asciiTheme="minorHAnsi" w:eastAsia="Times New Roman" w:hAnsiTheme="minorHAnsi"/>
          <w:b/>
        </w:rPr>
        <w:t>NHNA</w:t>
      </w:r>
      <w:r w:rsidR="007D0446" w:rsidRPr="00BC480F">
        <w:rPr>
          <w:rFonts w:asciiTheme="minorHAnsi" w:eastAsia="Times New Roman" w:hAnsiTheme="minorHAnsi"/>
          <w:b/>
        </w:rPr>
        <w:t xml:space="preserve"> note</w:t>
      </w:r>
      <w:r w:rsidR="00883985" w:rsidRPr="00BC480F">
        <w:rPr>
          <w:rFonts w:asciiTheme="minorHAnsi" w:eastAsia="Times New Roman" w:hAnsiTheme="minorHAnsi"/>
          <w:b/>
        </w:rPr>
        <w:t>s</w:t>
      </w:r>
      <w:r w:rsidR="007D0446" w:rsidRPr="00BC480F">
        <w:rPr>
          <w:rFonts w:asciiTheme="minorHAnsi" w:eastAsia="Times New Roman" w:hAnsiTheme="minorHAnsi"/>
          <w:b/>
        </w:rPr>
        <w:t xml:space="preserve"> that protections in our sector plan have not been carried over to </w:t>
      </w:r>
      <w:r w:rsidR="00884940" w:rsidRPr="00BC480F">
        <w:rPr>
          <w:rFonts w:asciiTheme="minorHAnsi" w:eastAsia="Times New Roman" w:hAnsiTheme="minorHAnsi"/>
          <w:b/>
        </w:rPr>
        <w:t xml:space="preserve">the </w:t>
      </w:r>
      <w:r w:rsidR="00883985" w:rsidRPr="00BC480F">
        <w:rPr>
          <w:rFonts w:asciiTheme="minorHAnsi" w:eastAsia="Times New Roman" w:hAnsiTheme="minorHAnsi"/>
          <w:b/>
        </w:rPr>
        <w:t>CPO- 6 overlay</w:t>
      </w:r>
      <w:r w:rsidR="007D0446" w:rsidRPr="00BC480F">
        <w:rPr>
          <w:rFonts w:asciiTheme="minorHAnsi" w:eastAsia="Times New Roman" w:hAnsiTheme="minorHAnsi"/>
          <w:b/>
        </w:rPr>
        <w:t>;</w:t>
      </w:r>
      <w:r w:rsidR="001121F3" w:rsidRPr="00BC480F">
        <w:rPr>
          <w:rFonts w:asciiTheme="minorHAnsi" w:eastAsia="Times New Roman" w:hAnsiTheme="minorHAnsi"/>
          <w:b/>
        </w:rPr>
        <w:t xml:space="preserve"> </w:t>
      </w:r>
      <w:r w:rsidR="001121F3" w:rsidRPr="00BC480F">
        <w:rPr>
          <w:rFonts w:asciiTheme="minorHAnsi" w:eastAsia="Times New Roman" w:hAnsiTheme="minorHAnsi"/>
        </w:rPr>
        <w:t>General Regulations, page 103</w:t>
      </w:r>
      <w:r w:rsidR="00884940" w:rsidRPr="00BC480F">
        <w:rPr>
          <w:rFonts w:asciiTheme="minorHAnsi" w:eastAsia="Times New Roman" w:hAnsiTheme="minorHAnsi"/>
        </w:rPr>
        <w:t xml:space="preserve"> of sector plan</w:t>
      </w:r>
      <w:r w:rsidR="001121F3" w:rsidRPr="00BC480F">
        <w:rPr>
          <w:rFonts w:asciiTheme="minorHAnsi" w:eastAsia="Times New Roman" w:hAnsiTheme="minorHAnsi"/>
        </w:rPr>
        <w:t>, on Signage and Lighting as well as Historic Preservation quoted here</w:t>
      </w:r>
      <w:proofErr w:type="gramStart"/>
      <w:r w:rsidR="005C5A9F" w:rsidRPr="00BC480F">
        <w:rPr>
          <w:rFonts w:asciiTheme="minorHAnsi" w:eastAsia="Times New Roman" w:hAnsiTheme="minorHAnsi"/>
        </w:rPr>
        <w:t>:</w:t>
      </w:r>
      <w:r w:rsidR="005C5A9F">
        <w:rPr>
          <w:rFonts w:asciiTheme="minorHAnsi" w:eastAsia="Times New Roman" w:hAnsiTheme="minorHAnsi"/>
        </w:rPr>
        <w:t xml:space="preserve"> </w:t>
      </w:r>
      <w:r w:rsidR="005C5A9F" w:rsidRPr="00BC480F">
        <w:rPr>
          <w:rFonts w:asciiTheme="minorHAnsi" w:eastAsia="Times New Roman" w:hAnsiTheme="minorHAnsi"/>
        </w:rPr>
        <w:t>”</w:t>
      </w:r>
      <w:proofErr w:type="gramEnd"/>
      <w:r w:rsidR="001121F3" w:rsidRPr="00BC480F">
        <w:rPr>
          <w:rFonts w:asciiTheme="minorHAnsi" w:eastAsia="Times New Roman" w:hAnsiTheme="minorHAnsi"/>
        </w:rPr>
        <w:t xml:space="preserve">All buildings on the state and national historic registers, city landmarks, and characteristic buildings shall be preserved within the project area. Alteration, demolition, and/or new construction to (such buildings) shall be reviewed by the LUCC staff and a report provided…to the…Planning Dept. LUCC staff shall proceed to have designated characteristic buildings, Nob Hill Business Center, Monte Vista Fire Station, deAnza Motor Lodge, and Solar Building as City Landmarks.”…..NHNA board voted </w:t>
      </w:r>
      <w:r w:rsidR="007D0446" w:rsidRPr="00BC480F">
        <w:rPr>
          <w:rFonts w:asciiTheme="minorHAnsi" w:eastAsia="Times New Roman" w:hAnsiTheme="minorHAnsi"/>
        </w:rPr>
        <w:t>8-0</w:t>
      </w:r>
      <w:r w:rsidR="001121F3" w:rsidRPr="00BC480F">
        <w:rPr>
          <w:rFonts w:asciiTheme="minorHAnsi" w:eastAsia="Times New Roman" w:hAnsiTheme="minorHAnsi"/>
        </w:rPr>
        <w:t xml:space="preserve"> to carry these provisions over to the IDO.</w:t>
      </w:r>
    </w:p>
    <w:p w:rsidR="00FB1A39" w:rsidRPr="00BC480F" w:rsidRDefault="00FB1A39" w:rsidP="00CE09CE">
      <w:pPr>
        <w:rPr>
          <w:rFonts w:asciiTheme="minorHAnsi" w:eastAsia="Times New Roman" w:hAnsiTheme="minorHAnsi"/>
          <w:color w:val="000000"/>
        </w:rPr>
      </w:pPr>
    </w:p>
    <w:p w:rsidR="00FB1A39" w:rsidRPr="00B57873" w:rsidRDefault="00FB1A39" w:rsidP="00CE09CE">
      <w:pPr>
        <w:rPr>
          <w:rFonts w:asciiTheme="minorHAnsi" w:eastAsia="Times New Roman" w:hAnsiTheme="minorHAnsi"/>
        </w:rPr>
      </w:pPr>
      <w:r w:rsidRPr="00BC480F">
        <w:rPr>
          <w:rFonts w:asciiTheme="minorHAnsi" w:eastAsia="Times New Roman" w:hAnsiTheme="minorHAnsi"/>
          <w:b/>
        </w:rPr>
        <w:t>7</w:t>
      </w:r>
      <w:r w:rsidR="00BC480F" w:rsidRPr="00BC480F">
        <w:rPr>
          <w:rFonts w:asciiTheme="minorHAnsi" w:eastAsia="Times New Roman" w:hAnsiTheme="minorHAnsi"/>
          <w:b/>
        </w:rPr>
        <w:t>.</w:t>
      </w:r>
      <w:r w:rsidR="00B57873">
        <w:rPr>
          <w:rFonts w:asciiTheme="minorHAnsi" w:eastAsia="Times New Roman" w:hAnsiTheme="minorHAnsi"/>
          <w:b/>
        </w:rPr>
        <w:t xml:space="preserve"> Character Protection…</w:t>
      </w:r>
      <w:r w:rsidR="00B57873">
        <w:rPr>
          <w:rFonts w:asciiTheme="minorHAnsi" w:eastAsia="Times New Roman" w:hAnsiTheme="minorHAnsi"/>
        </w:rPr>
        <w:t xml:space="preserve">We </w:t>
      </w:r>
      <w:r w:rsidR="007D0446" w:rsidRPr="00B57873">
        <w:rPr>
          <w:rFonts w:asciiTheme="minorHAnsi" w:eastAsia="Times New Roman" w:hAnsiTheme="minorHAnsi"/>
        </w:rPr>
        <w:t>note that CPO</w:t>
      </w:r>
      <w:r w:rsidR="00883985" w:rsidRPr="00B57873">
        <w:rPr>
          <w:rFonts w:asciiTheme="minorHAnsi" w:eastAsia="Times New Roman" w:hAnsiTheme="minorHAnsi"/>
        </w:rPr>
        <w:t>-6</w:t>
      </w:r>
      <w:r w:rsidR="007D0446" w:rsidRPr="00B57873">
        <w:rPr>
          <w:rFonts w:asciiTheme="minorHAnsi" w:eastAsia="Times New Roman" w:hAnsiTheme="minorHAnsi"/>
        </w:rPr>
        <w:t xml:space="preserve"> does not address b</w:t>
      </w:r>
      <w:r w:rsidRPr="00B57873">
        <w:rPr>
          <w:rFonts w:asciiTheme="minorHAnsi" w:eastAsia="Times New Roman" w:hAnsiTheme="minorHAnsi"/>
        </w:rPr>
        <w:t xml:space="preserve">uilding </w:t>
      </w:r>
      <w:r w:rsidR="007D0446" w:rsidRPr="00B57873">
        <w:rPr>
          <w:rFonts w:asciiTheme="minorHAnsi" w:eastAsia="Times New Roman" w:hAnsiTheme="minorHAnsi"/>
        </w:rPr>
        <w:t>s</w:t>
      </w:r>
      <w:r w:rsidRPr="00B57873">
        <w:rPr>
          <w:rFonts w:asciiTheme="minorHAnsi" w:eastAsia="Times New Roman" w:hAnsiTheme="minorHAnsi"/>
        </w:rPr>
        <w:t>tandards</w:t>
      </w:r>
      <w:r w:rsidR="00EC78F9" w:rsidRPr="00B57873">
        <w:rPr>
          <w:rFonts w:asciiTheme="minorHAnsi" w:eastAsia="Times New Roman" w:hAnsiTheme="minorHAnsi"/>
        </w:rPr>
        <w:t xml:space="preserve"> </w:t>
      </w:r>
      <w:r w:rsidRPr="00B57873">
        <w:rPr>
          <w:rFonts w:asciiTheme="minorHAnsi" w:eastAsia="Times New Roman" w:hAnsiTheme="minorHAnsi"/>
        </w:rPr>
        <w:t>need</w:t>
      </w:r>
      <w:r w:rsidR="007D0446" w:rsidRPr="00B57873">
        <w:rPr>
          <w:rFonts w:asciiTheme="minorHAnsi" w:eastAsia="Times New Roman" w:hAnsiTheme="minorHAnsi"/>
        </w:rPr>
        <w:t>ed to protect character. NHNA board voted 8-0 to include</w:t>
      </w:r>
      <w:r w:rsidRPr="00B57873">
        <w:rPr>
          <w:rFonts w:asciiTheme="minorHAnsi" w:eastAsia="Times New Roman" w:hAnsiTheme="minorHAnsi"/>
        </w:rPr>
        <w:t xml:space="preserve"> character</w:t>
      </w:r>
      <w:r w:rsidR="007D0446" w:rsidRPr="00B57873">
        <w:rPr>
          <w:rFonts w:asciiTheme="minorHAnsi" w:eastAsia="Times New Roman" w:hAnsiTheme="minorHAnsi"/>
        </w:rPr>
        <w:t xml:space="preserve"> protection provisions</w:t>
      </w:r>
      <w:r w:rsidRPr="00B57873">
        <w:rPr>
          <w:rFonts w:asciiTheme="minorHAnsi" w:eastAsia="Times New Roman" w:hAnsiTheme="minorHAnsi"/>
        </w:rPr>
        <w:t xml:space="preserve"> as in East Downtown CPO-3 </w:t>
      </w:r>
      <w:r w:rsidR="007D0446" w:rsidRPr="00B57873">
        <w:rPr>
          <w:rFonts w:asciiTheme="minorHAnsi" w:eastAsia="Times New Roman" w:hAnsiTheme="minorHAnsi"/>
        </w:rPr>
        <w:t xml:space="preserve">including but not limited to </w:t>
      </w:r>
      <w:r w:rsidRPr="00B57873">
        <w:rPr>
          <w:rFonts w:asciiTheme="minorHAnsi" w:eastAsia="Times New Roman" w:hAnsiTheme="minorHAnsi"/>
        </w:rPr>
        <w:t>Building Materials, Doors and Windows, Roofs and Parapets, Awnings and Overhangs</w:t>
      </w:r>
      <w:r w:rsidR="00787A0F" w:rsidRPr="00B57873">
        <w:rPr>
          <w:rFonts w:asciiTheme="minorHAnsi" w:eastAsia="Times New Roman" w:hAnsiTheme="minorHAnsi"/>
        </w:rPr>
        <w:t>.</w:t>
      </w:r>
      <w:r w:rsidRPr="00B57873">
        <w:rPr>
          <w:rFonts w:asciiTheme="minorHAnsi" w:eastAsia="Times New Roman" w:hAnsiTheme="minorHAnsi"/>
        </w:rPr>
        <w:t xml:space="preserve"> </w:t>
      </w:r>
    </w:p>
    <w:p w:rsidR="00A442B3" w:rsidRPr="00BC480F" w:rsidRDefault="00A442B3" w:rsidP="00A442B3">
      <w:pPr>
        <w:shd w:val="clear" w:color="auto" w:fill="FFFFFF"/>
        <w:rPr>
          <w:rFonts w:asciiTheme="minorHAnsi" w:eastAsia="Times New Roman" w:hAnsiTheme="minorHAnsi" w:cs="Arial"/>
          <w:b/>
          <w:color w:val="000000"/>
        </w:rPr>
      </w:pPr>
    </w:p>
    <w:p w:rsidR="001121F3" w:rsidRPr="00BC480F" w:rsidRDefault="00FB1A39" w:rsidP="007C2A67">
      <w:pPr>
        <w:rPr>
          <w:rFonts w:asciiTheme="minorHAnsi" w:eastAsia="Calibri" w:hAnsiTheme="minorHAnsi" w:cs="Arial"/>
        </w:rPr>
      </w:pPr>
      <w:r w:rsidRPr="00BC480F">
        <w:rPr>
          <w:rFonts w:asciiTheme="minorHAnsi" w:eastAsia="Calibri" w:hAnsiTheme="minorHAnsi" w:cs="Arial"/>
          <w:b/>
          <w:bCs/>
        </w:rPr>
        <w:t>8</w:t>
      </w:r>
      <w:r w:rsidR="00BC480F" w:rsidRPr="00BC480F">
        <w:rPr>
          <w:rFonts w:asciiTheme="minorHAnsi" w:eastAsia="Calibri" w:hAnsiTheme="minorHAnsi" w:cs="Arial"/>
          <w:b/>
          <w:bCs/>
        </w:rPr>
        <w:t xml:space="preserve">. </w:t>
      </w:r>
      <w:r w:rsidR="005F2C19" w:rsidRPr="00BC480F">
        <w:rPr>
          <w:rFonts w:asciiTheme="minorHAnsi" w:eastAsia="Calibri" w:hAnsiTheme="minorHAnsi" w:cs="Arial"/>
          <w:b/>
          <w:bCs/>
        </w:rPr>
        <w:t xml:space="preserve">Off-Street Parking </w:t>
      </w:r>
      <w:r w:rsidR="00CE09CE" w:rsidRPr="00BC480F">
        <w:rPr>
          <w:rFonts w:asciiTheme="minorHAnsi" w:eastAsia="Calibri" w:hAnsiTheme="minorHAnsi" w:cs="Arial"/>
          <w:b/>
          <w:bCs/>
        </w:rPr>
        <w:t>Exemptions</w:t>
      </w:r>
      <w:r w:rsidR="00C9461D" w:rsidRPr="00BC480F">
        <w:rPr>
          <w:rFonts w:asciiTheme="minorHAnsi" w:eastAsia="Calibri" w:hAnsiTheme="minorHAnsi" w:cs="Arial"/>
          <w:b/>
          <w:bCs/>
        </w:rPr>
        <w:t>…page 266….</w:t>
      </w:r>
      <w:r w:rsidR="00CE09CE" w:rsidRPr="00BC480F">
        <w:rPr>
          <w:rFonts w:asciiTheme="minorHAnsi" w:eastAsia="Calibri" w:hAnsiTheme="minorHAnsi" w:cs="Arial"/>
        </w:rPr>
        <w:t xml:space="preserve">NHNA board voted </w:t>
      </w:r>
      <w:r w:rsidR="00682108" w:rsidRPr="00BC480F">
        <w:rPr>
          <w:rFonts w:asciiTheme="minorHAnsi" w:eastAsia="Calibri" w:hAnsiTheme="minorHAnsi" w:cs="Arial"/>
        </w:rPr>
        <w:t>8-0</w:t>
      </w:r>
      <w:r w:rsidR="00CE09CE" w:rsidRPr="00BC480F">
        <w:rPr>
          <w:rFonts w:asciiTheme="minorHAnsi" w:eastAsia="Calibri" w:hAnsiTheme="minorHAnsi" w:cs="Arial"/>
        </w:rPr>
        <w:t xml:space="preserve"> in support of the intent of the exemption (encouraging small businesses) </w:t>
      </w:r>
      <w:r w:rsidR="00C9461D" w:rsidRPr="00BC480F">
        <w:rPr>
          <w:rFonts w:asciiTheme="minorHAnsi" w:eastAsia="Calibri" w:hAnsiTheme="minorHAnsi" w:cs="Arial"/>
        </w:rPr>
        <w:t>if</w:t>
      </w:r>
      <w:r w:rsidR="00CE09CE" w:rsidRPr="00BC480F">
        <w:rPr>
          <w:rFonts w:asciiTheme="minorHAnsi" w:eastAsia="Calibri" w:hAnsiTheme="minorHAnsi" w:cs="Arial"/>
        </w:rPr>
        <w:t xml:space="preserve"> “Non-residential uses other than restaurants</w:t>
      </w:r>
      <w:r w:rsidR="00CE09CE" w:rsidRPr="00BC480F">
        <w:rPr>
          <w:rFonts w:asciiTheme="minorHAnsi" w:hAnsiTheme="minorHAnsi" w:cs="Arial"/>
        </w:rPr>
        <w:t xml:space="preserve"> </w:t>
      </w:r>
      <w:r w:rsidR="00CE09CE" w:rsidRPr="00BC480F">
        <w:rPr>
          <w:rFonts w:asciiTheme="minorHAnsi" w:eastAsia="Calibri" w:hAnsiTheme="minorHAnsi" w:cs="Arial"/>
        </w:rPr>
        <w:t>in establishments of less than 3,000 s.f. in CPO-6</w:t>
      </w:r>
      <w:r w:rsidR="00C9461D" w:rsidRPr="00BC480F">
        <w:rPr>
          <w:rFonts w:asciiTheme="minorHAnsi" w:eastAsia="Calibri" w:hAnsiTheme="minorHAnsi" w:cs="Arial"/>
        </w:rPr>
        <w:t xml:space="preserve">” is replaced </w:t>
      </w:r>
      <w:r w:rsidR="00682108" w:rsidRPr="00BC480F">
        <w:rPr>
          <w:rFonts w:asciiTheme="minorHAnsi" w:eastAsia="Calibri" w:hAnsiTheme="minorHAnsi" w:cs="Arial"/>
        </w:rPr>
        <w:t>with</w:t>
      </w:r>
      <w:r w:rsidR="00CE09CE" w:rsidRPr="00BC480F">
        <w:rPr>
          <w:rFonts w:asciiTheme="minorHAnsi" w:eastAsia="Calibri" w:hAnsiTheme="minorHAnsi" w:cs="Arial"/>
        </w:rPr>
        <w:t xml:space="preserve"> “Offices and Services and </w:t>
      </w:r>
      <w:r w:rsidR="00CE09CE" w:rsidRPr="00BC480F">
        <w:rPr>
          <w:rFonts w:asciiTheme="minorHAnsi" w:eastAsia="Calibri" w:hAnsiTheme="minorHAnsi" w:cs="Arial"/>
        </w:rPr>
        <w:lastRenderedPageBreak/>
        <w:t>Retail Sales (as defined in table 3.2.1) in establishments of less than 3,000 s.f. and in buildings less than 26 ft high</w:t>
      </w:r>
      <w:r w:rsidR="00CD1003" w:rsidRPr="00BC480F">
        <w:rPr>
          <w:rFonts w:asciiTheme="minorHAnsi" w:eastAsia="Calibri" w:hAnsiTheme="minorHAnsi" w:cs="Arial"/>
        </w:rPr>
        <w:t xml:space="preserve"> in CPO-6</w:t>
      </w:r>
      <w:r w:rsidR="00CE09CE" w:rsidRPr="00BC480F">
        <w:rPr>
          <w:rFonts w:asciiTheme="minorHAnsi" w:eastAsia="Calibri" w:hAnsiTheme="minorHAnsi" w:cs="Arial"/>
        </w:rPr>
        <w:t>.</w:t>
      </w:r>
      <w:r w:rsidR="00682108" w:rsidRPr="00BC480F">
        <w:rPr>
          <w:rFonts w:asciiTheme="minorHAnsi" w:eastAsia="Calibri" w:hAnsiTheme="minorHAnsi" w:cs="Arial"/>
        </w:rPr>
        <w:t>”</w:t>
      </w:r>
    </w:p>
    <w:p w:rsidR="00C9461D" w:rsidRPr="00BC480F" w:rsidRDefault="00C9461D" w:rsidP="007C2A67">
      <w:pPr>
        <w:rPr>
          <w:rFonts w:asciiTheme="minorHAnsi" w:eastAsia="Calibri" w:hAnsiTheme="minorHAnsi" w:cs="Arial"/>
        </w:rPr>
      </w:pPr>
    </w:p>
    <w:p w:rsidR="00A442B3" w:rsidRPr="00BC480F" w:rsidRDefault="00FB1A39" w:rsidP="00A442B3">
      <w:pPr>
        <w:rPr>
          <w:rFonts w:asciiTheme="minorHAnsi" w:eastAsia="Times New Roman" w:hAnsiTheme="minorHAnsi"/>
          <w:b/>
        </w:rPr>
      </w:pPr>
      <w:r w:rsidRPr="00BC480F">
        <w:rPr>
          <w:rFonts w:asciiTheme="minorHAnsi" w:eastAsia="Times New Roman" w:hAnsiTheme="minorHAnsi"/>
          <w:b/>
        </w:rPr>
        <w:t>9</w:t>
      </w:r>
      <w:r w:rsidR="00BC480F" w:rsidRPr="00BC480F">
        <w:rPr>
          <w:rFonts w:asciiTheme="minorHAnsi" w:eastAsia="Times New Roman" w:hAnsiTheme="minorHAnsi"/>
          <w:b/>
        </w:rPr>
        <w:t xml:space="preserve">. </w:t>
      </w:r>
      <w:r w:rsidR="00A442B3" w:rsidRPr="00BC480F">
        <w:rPr>
          <w:rFonts w:asciiTheme="minorHAnsi" w:eastAsia="Times New Roman" w:hAnsiTheme="minorHAnsi"/>
          <w:b/>
        </w:rPr>
        <w:t>Decisions requiring a public meeting and/or hearing</w:t>
      </w:r>
      <w:r w:rsidR="00A442B3" w:rsidRPr="00B57873">
        <w:rPr>
          <w:rFonts w:asciiTheme="minorHAnsi" w:eastAsia="Times New Roman" w:hAnsiTheme="minorHAnsi"/>
        </w:rPr>
        <w:t>…</w:t>
      </w:r>
      <w:r w:rsidR="00B57873">
        <w:rPr>
          <w:rFonts w:asciiTheme="minorHAnsi" w:eastAsia="Times New Roman" w:hAnsiTheme="minorHAnsi"/>
        </w:rPr>
        <w:t>.</w:t>
      </w:r>
      <w:r w:rsidR="00B57873" w:rsidRPr="00B57873">
        <w:rPr>
          <w:rFonts w:asciiTheme="minorHAnsi" w:eastAsia="Times New Roman" w:hAnsiTheme="minorHAnsi"/>
        </w:rPr>
        <w:t>Table 6-1-1....</w:t>
      </w:r>
      <w:r w:rsidR="00A442B3" w:rsidRPr="00B57873">
        <w:rPr>
          <w:rFonts w:asciiTheme="minorHAnsi" w:eastAsia="Times New Roman" w:hAnsiTheme="minorHAnsi"/>
        </w:rPr>
        <w:t>NHNA</w:t>
      </w:r>
      <w:r w:rsidR="00A442B3" w:rsidRPr="00BC480F">
        <w:rPr>
          <w:rFonts w:asciiTheme="minorHAnsi" w:eastAsia="Times New Roman" w:hAnsiTheme="minorHAnsi"/>
        </w:rPr>
        <w:t xml:space="preserve"> </w:t>
      </w:r>
      <w:r w:rsidR="00682108" w:rsidRPr="00BC480F">
        <w:rPr>
          <w:rFonts w:asciiTheme="minorHAnsi" w:eastAsia="Times New Roman" w:hAnsiTheme="minorHAnsi"/>
        </w:rPr>
        <w:t>board</w:t>
      </w:r>
      <w:r w:rsidR="00A442B3" w:rsidRPr="00BC480F">
        <w:rPr>
          <w:rFonts w:asciiTheme="minorHAnsi" w:eastAsia="Times New Roman" w:hAnsiTheme="minorHAnsi"/>
        </w:rPr>
        <w:t xml:space="preserve"> voted </w:t>
      </w:r>
      <w:r w:rsidR="00682108" w:rsidRPr="00BC480F">
        <w:rPr>
          <w:rFonts w:asciiTheme="minorHAnsi" w:eastAsia="Times New Roman" w:hAnsiTheme="minorHAnsi"/>
        </w:rPr>
        <w:t>8-0</w:t>
      </w:r>
      <w:r w:rsidR="00A442B3" w:rsidRPr="00BC480F">
        <w:rPr>
          <w:rFonts w:asciiTheme="minorHAnsi" w:eastAsia="Times New Roman" w:hAnsiTheme="minorHAnsi"/>
        </w:rPr>
        <w:t xml:space="preserve"> </w:t>
      </w:r>
      <w:r w:rsidR="00682108" w:rsidRPr="00BC480F">
        <w:rPr>
          <w:rFonts w:asciiTheme="minorHAnsi" w:eastAsia="Times New Roman" w:hAnsiTheme="minorHAnsi"/>
        </w:rPr>
        <w:t>in favor of</w:t>
      </w:r>
      <w:r w:rsidR="00A442B3" w:rsidRPr="00BC480F">
        <w:rPr>
          <w:rFonts w:asciiTheme="minorHAnsi" w:eastAsia="Times New Roman" w:hAnsiTheme="minorHAnsi"/>
        </w:rPr>
        <w:t xml:space="preserve"> requiring neighborhood meetings for these actions:</w:t>
      </w:r>
    </w:p>
    <w:p w:rsidR="00A442B3" w:rsidRPr="00BC480F" w:rsidRDefault="00A442B3" w:rsidP="00A442B3">
      <w:pPr>
        <w:ind w:left="360"/>
        <w:rPr>
          <w:rFonts w:asciiTheme="minorHAnsi" w:eastAsia="Times New Roman" w:hAnsiTheme="minorHAnsi"/>
        </w:rPr>
      </w:pPr>
      <w:r w:rsidRPr="00BC480F">
        <w:rPr>
          <w:rFonts w:asciiTheme="minorHAnsi" w:eastAsia="Times New Roman" w:hAnsiTheme="minorHAnsi"/>
        </w:rPr>
        <w:t>-Demolition of non-designated structure outside of a historic preservation overlay shall be reviewed by city staff/zoning enforcement office and a decision made at a public hearing by</w:t>
      </w:r>
      <w:r w:rsidR="00682108" w:rsidRPr="00BC480F">
        <w:rPr>
          <w:rFonts w:asciiTheme="minorHAnsi" w:eastAsia="Times New Roman" w:hAnsiTheme="minorHAnsi"/>
        </w:rPr>
        <w:t xml:space="preserve"> the Landmarks Commission.</w:t>
      </w:r>
    </w:p>
    <w:p w:rsidR="00A442B3" w:rsidRPr="00BC480F" w:rsidRDefault="00A442B3" w:rsidP="00A442B3">
      <w:pPr>
        <w:ind w:left="360"/>
        <w:rPr>
          <w:rFonts w:asciiTheme="minorHAnsi" w:eastAsia="Times New Roman" w:hAnsiTheme="minorHAnsi"/>
        </w:rPr>
      </w:pPr>
      <w:r w:rsidRPr="00BC480F">
        <w:rPr>
          <w:rFonts w:asciiTheme="minorHAnsi" w:eastAsia="Times New Roman" w:hAnsiTheme="minorHAnsi"/>
        </w:rPr>
        <w:t xml:space="preserve">-Certificate of appropriateness-major (applies to historic preservation overlays) </w:t>
      </w:r>
    </w:p>
    <w:p w:rsidR="00A442B3" w:rsidRPr="00BC480F" w:rsidRDefault="00A442B3" w:rsidP="00A442B3">
      <w:pPr>
        <w:ind w:left="360"/>
        <w:rPr>
          <w:rFonts w:asciiTheme="minorHAnsi" w:eastAsia="Times New Roman" w:hAnsiTheme="minorHAnsi"/>
        </w:rPr>
      </w:pPr>
      <w:r w:rsidRPr="00BC480F">
        <w:rPr>
          <w:rFonts w:asciiTheme="minorHAnsi" w:eastAsia="Times New Roman" w:hAnsiTheme="minorHAnsi"/>
        </w:rPr>
        <w:t xml:space="preserve">-Subdivision of land-major, preliminary plat (including variance and/or improvement agreement) </w:t>
      </w:r>
    </w:p>
    <w:p w:rsidR="00A442B3" w:rsidRPr="00BC480F" w:rsidRDefault="00A442B3" w:rsidP="00A442B3">
      <w:pPr>
        <w:ind w:left="360"/>
        <w:rPr>
          <w:rFonts w:asciiTheme="minorHAnsi" w:eastAsia="Times New Roman" w:hAnsiTheme="minorHAnsi"/>
        </w:rPr>
      </w:pPr>
      <w:r w:rsidRPr="00BC480F">
        <w:rPr>
          <w:rFonts w:asciiTheme="minorHAnsi" w:eastAsia="Times New Roman" w:hAnsiTheme="minorHAnsi"/>
        </w:rPr>
        <w:t>-Policy decision, amendment to IDO text…..</w:t>
      </w:r>
    </w:p>
    <w:p w:rsidR="00A442B3" w:rsidRPr="00BC480F" w:rsidRDefault="00A442B3" w:rsidP="00A442B3">
      <w:pPr>
        <w:pStyle w:val="ListParagraph"/>
        <w:ind w:left="540"/>
        <w:rPr>
          <w:rFonts w:asciiTheme="minorHAnsi" w:eastAsia="Times New Roman" w:hAnsiTheme="minorHAnsi"/>
        </w:rPr>
      </w:pPr>
    </w:p>
    <w:p w:rsidR="00A442B3" w:rsidRPr="00BC480F" w:rsidRDefault="00A442B3" w:rsidP="00A442B3">
      <w:pPr>
        <w:ind w:left="360"/>
        <w:rPr>
          <w:rFonts w:asciiTheme="minorHAnsi" w:eastAsia="Times New Roman" w:hAnsiTheme="minorHAnsi"/>
          <w:i/>
        </w:rPr>
      </w:pPr>
      <w:r w:rsidRPr="00BC480F">
        <w:rPr>
          <w:rFonts w:asciiTheme="minorHAnsi" w:eastAsia="Times New Roman" w:hAnsiTheme="minorHAnsi"/>
        </w:rPr>
        <w:t xml:space="preserve">EPC condition 317 states: </w:t>
      </w:r>
      <w:r w:rsidRPr="00BC480F">
        <w:rPr>
          <w:rFonts w:asciiTheme="minorHAnsi" w:eastAsia="Times New Roman" w:hAnsiTheme="minorHAnsi"/>
          <w:i/>
        </w:rPr>
        <w:t xml:space="preserve">revise to read:” Currently preliminary plat </w:t>
      </w:r>
      <w:r w:rsidR="005C5A9F" w:rsidRPr="00BC480F">
        <w:rPr>
          <w:rFonts w:asciiTheme="minorHAnsi" w:eastAsia="Times New Roman" w:hAnsiTheme="minorHAnsi"/>
          <w:i/>
        </w:rPr>
        <w:t>approvals (</w:t>
      </w:r>
      <w:r w:rsidRPr="00BC480F">
        <w:rPr>
          <w:rFonts w:asciiTheme="minorHAnsi" w:eastAsia="Times New Roman" w:hAnsiTheme="minorHAnsi"/>
          <w:i/>
        </w:rPr>
        <w:t>including variance and/or subdivision improvement agreement/extension) require neighborhood notification.”</w:t>
      </w:r>
    </w:p>
    <w:p w:rsidR="00A442B3" w:rsidRPr="00BC480F" w:rsidRDefault="00A442B3" w:rsidP="00A442B3">
      <w:pPr>
        <w:pStyle w:val="ListParagraph"/>
        <w:ind w:left="540"/>
        <w:rPr>
          <w:rFonts w:asciiTheme="minorHAnsi" w:eastAsia="Times New Roman" w:hAnsiTheme="minorHAnsi"/>
          <w:color w:val="000000"/>
        </w:rPr>
      </w:pPr>
    </w:p>
    <w:p w:rsidR="00F97345" w:rsidRPr="00BC480F" w:rsidRDefault="00FB1A39" w:rsidP="001121F3">
      <w:pPr>
        <w:rPr>
          <w:rFonts w:asciiTheme="minorHAnsi" w:eastAsia="Times New Roman" w:hAnsiTheme="minorHAnsi"/>
          <w:i/>
        </w:rPr>
      </w:pPr>
      <w:r w:rsidRPr="00BC480F">
        <w:rPr>
          <w:rFonts w:asciiTheme="minorHAnsi" w:eastAsia="Times New Roman" w:hAnsiTheme="minorHAnsi"/>
          <w:b/>
        </w:rPr>
        <w:t>10</w:t>
      </w:r>
      <w:r w:rsidR="00BC480F" w:rsidRPr="00BC480F">
        <w:rPr>
          <w:rFonts w:asciiTheme="minorHAnsi" w:eastAsia="Times New Roman" w:hAnsiTheme="minorHAnsi"/>
          <w:b/>
        </w:rPr>
        <w:t xml:space="preserve">. </w:t>
      </w:r>
      <w:r w:rsidR="00B57873">
        <w:rPr>
          <w:rFonts w:asciiTheme="minorHAnsi" w:eastAsia="Times New Roman" w:hAnsiTheme="minorHAnsi"/>
          <w:b/>
        </w:rPr>
        <w:t>Approval of Conditional Use…</w:t>
      </w:r>
      <w:r w:rsidR="00CD1003" w:rsidRPr="00B57873">
        <w:rPr>
          <w:rFonts w:asciiTheme="minorHAnsi" w:hAnsiTheme="minorHAnsi"/>
        </w:rPr>
        <w:t>6-6(A)(3)(c)</w:t>
      </w:r>
      <w:r w:rsidR="001121F3" w:rsidRPr="00B57873">
        <w:rPr>
          <w:rFonts w:asciiTheme="minorHAnsi" w:eastAsia="Times New Roman" w:hAnsiTheme="minorHAnsi"/>
        </w:rPr>
        <w:t>…</w:t>
      </w:r>
      <w:r w:rsidR="00F97345" w:rsidRPr="00B57873">
        <w:rPr>
          <w:rFonts w:asciiTheme="minorHAnsi" w:eastAsia="Times New Roman" w:hAnsiTheme="minorHAnsi"/>
        </w:rPr>
        <w:t>page 444...D</w:t>
      </w:r>
      <w:r w:rsidR="00C9461D" w:rsidRPr="00B57873">
        <w:rPr>
          <w:rFonts w:asciiTheme="minorHAnsi" w:eastAsia="Times New Roman" w:hAnsiTheme="minorHAnsi"/>
        </w:rPr>
        <w:t xml:space="preserve">raft states: </w:t>
      </w:r>
      <w:r w:rsidR="001121F3" w:rsidRPr="00B57873">
        <w:rPr>
          <w:rFonts w:asciiTheme="minorHAnsi" w:eastAsia="Times New Roman" w:hAnsiTheme="minorHAnsi"/>
        </w:rPr>
        <w:t>The ZHE shall approve a conditional use if the ZHE determines that</w:t>
      </w:r>
      <w:r w:rsidR="00F97345" w:rsidRPr="00B57873">
        <w:rPr>
          <w:rFonts w:asciiTheme="minorHAnsi" w:eastAsia="Times New Roman" w:hAnsiTheme="minorHAnsi"/>
        </w:rPr>
        <w:t>…</w:t>
      </w:r>
      <w:r w:rsidR="001121F3" w:rsidRPr="00B57873">
        <w:rPr>
          <w:rFonts w:asciiTheme="minorHAnsi" w:eastAsia="Times New Roman" w:hAnsiTheme="minorHAnsi"/>
        </w:rPr>
        <w:t>it will not</w:t>
      </w:r>
      <w:r w:rsidR="00F97345" w:rsidRPr="00B57873">
        <w:rPr>
          <w:rFonts w:asciiTheme="minorHAnsi" w:eastAsia="Times New Roman" w:hAnsiTheme="minorHAnsi"/>
        </w:rPr>
        <w:t xml:space="preserve"> </w:t>
      </w:r>
      <w:r w:rsidR="001121F3" w:rsidRPr="00B57873">
        <w:rPr>
          <w:rFonts w:asciiTheme="minorHAnsi" w:eastAsia="Times New Roman" w:hAnsiTheme="minorHAnsi"/>
        </w:rPr>
        <w:t xml:space="preserve">create significantly adverse impacts to the adjacent property, the neighborhood, or the community….NHNA </w:t>
      </w:r>
      <w:r w:rsidR="00682108" w:rsidRPr="00B57873">
        <w:rPr>
          <w:rFonts w:asciiTheme="minorHAnsi" w:eastAsia="Times New Roman" w:hAnsiTheme="minorHAnsi"/>
        </w:rPr>
        <w:t xml:space="preserve">board </w:t>
      </w:r>
      <w:r w:rsidR="001121F3" w:rsidRPr="00B57873">
        <w:rPr>
          <w:rFonts w:asciiTheme="minorHAnsi" w:eastAsia="Times New Roman" w:hAnsiTheme="minorHAnsi"/>
        </w:rPr>
        <w:t xml:space="preserve">voted </w:t>
      </w:r>
      <w:r w:rsidR="00682108" w:rsidRPr="00B57873">
        <w:rPr>
          <w:rFonts w:asciiTheme="minorHAnsi" w:eastAsia="Times New Roman" w:hAnsiTheme="minorHAnsi"/>
        </w:rPr>
        <w:t>8-0</w:t>
      </w:r>
      <w:r w:rsidR="001121F3" w:rsidRPr="00B57873">
        <w:rPr>
          <w:rFonts w:asciiTheme="minorHAnsi" w:eastAsia="Times New Roman" w:hAnsiTheme="minorHAnsi"/>
        </w:rPr>
        <w:t xml:space="preserve"> to </w:t>
      </w:r>
      <w:r w:rsidR="00682108" w:rsidRPr="00B57873">
        <w:rPr>
          <w:rFonts w:asciiTheme="minorHAnsi" w:eastAsia="Times New Roman" w:hAnsiTheme="minorHAnsi"/>
        </w:rPr>
        <w:t>develop</w:t>
      </w:r>
      <w:r w:rsidR="001121F3" w:rsidRPr="00B57873">
        <w:rPr>
          <w:rFonts w:asciiTheme="minorHAnsi" w:eastAsia="Times New Roman" w:hAnsiTheme="minorHAnsi"/>
        </w:rPr>
        <w:t xml:space="preserve"> more specific criteria than “create significantly adverse impacts” or return to “be injurious</w:t>
      </w:r>
      <w:r w:rsidR="00F97345" w:rsidRPr="00B57873">
        <w:rPr>
          <w:rFonts w:asciiTheme="minorHAnsi" w:eastAsia="Times New Roman" w:hAnsiTheme="minorHAnsi"/>
        </w:rPr>
        <w:t xml:space="preserve">. </w:t>
      </w:r>
      <w:r w:rsidR="00F97345" w:rsidRPr="00B57873">
        <w:rPr>
          <w:rFonts w:asciiTheme="minorHAnsi" w:hAnsiTheme="minorHAnsi"/>
        </w:rPr>
        <w:t>It will not create significantly adverse</w:t>
      </w:r>
      <w:r w:rsidR="00F97345" w:rsidRPr="00BC480F">
        <w:rPr>
          <w:rFonts w:asciiTheme="minorHAnsi" w:hAnsiTheme="minorHAnsi"/>
        </w:rPr>
        <w:t xml:space="preserve"> impacts to the adjacent property, the neighborhood, or the community.</w:t>
      </w:r>
    </w:p>
    <w:p w:rsidR="0066232D" w:rsidRPr="00BC480F" w:rsidRDefault="0066232D" w:rsidP="001121F3">
      <w:pPr>
        <w:rPr>
          <w:rFonts w:asciiTheme="minorHAnsi" w:eastAsia="Times New Roman" w:hAnsiTheme="minorHAnsi"/>
          <w:i/>
        </w:rPr>
      </w:pPr>
    </w:p>
    <w:p w:rsidR="00B05DCA" w:rsidRPr="00BC480F" w:rsidRDefault="00BC480F" w:rsidP="00F31281">
      <w:pPr>
        <w:rPr>
          <w:rFonts w:asciiTheme="minorHAnsi" w:eastAsia="Times New Roman" w:hAnsiTheme="minorHAnsi"/>
          <w:b/>
        </w:rPr>
      </w:pPr>
      <w:r w:rsidRPr="00BC480F">
        <w:rPr>
          <w:rFonts w:asciiTheme="minorHAnsi" w:eastAsia="Times New Roman" w:hAnsiTheme="minorHAnsi"/>
          <w:b/>
        </w:rPr>
        <w:t xml:space="preserve">11. </w:t>
      </w:r>
      <w:r w:rsidR="00B57873">
        <w:rPr>
          <w:rFonts w:asciiTheme="minorHAnsi" w:eastAsia="Times New Roman" w:hAnsiTheme="minorHAnsi"/>
          <w:b/>
        </w:rPr>
        <w:t>Carports…</w:t>
      </w:r>
      <w:r w:rsidR="00C93037" w:rsidRPr="00B57873">
        <w:rPr>
          <w:rFonts w:asciiTheme="minorHAnsi" w:eastAsia="Times New Roman" w:hAnsiTheme="minorHAnsi"/>
        </w:rPr>
        <w:t xml:space="preserve">Draft states: </w:t>
      </w:r>
      <w:r w:rsidR="002E4B5F" w:rsidRPr="00B57873">
        <w:rPr>
          <w:rFonts w:asciiTheme="minorHAnsi" w:eastAsia="Times New Roman" w:hAnsiTheme="minorHAnsi"/>
        </w:rPr>
        <w:t>Carports</w:t>
      </w:r>
      <w:r w:rsidR="00C93037" w:rsidRPr="00B57873">
        <w:rPr>
          <w:rFonts w:asciiTheme="minorHAnsi" w:eastAsia="Times New Roman" w:hAnsiTheme="minorHAnsi"/>
        </w:rPr>
        <w:t xml:space="preserve"> for</w:t>
      </w:r>
      <w:r w:rsidR="002E4B5F" w:rsidRPr="00B57873">
        <w:rPr>
          <w:rFonts w:asciiTheme="minorHAnsi" w:eastAsia="Times New Roman" w:hAnsiTheme="minorHAnsi"/>
        </w:rPr>
        <w:t xml:space="preserve"> </w:t>
      </w:r>
      <w:r w:rsidR="00885925" w:rsidRPr="00B57873">
        <w:rPr>
          <w:rFonts w:asciiTheme="minorHAnsi" w:eastAsia="Times New Roman" w:hAnsiTheme="minorHAnsi"/>
        </w:rPr>
        <w:t xml:space="preserve">low density residential development </w:t>
      </w:r>
      <w:r w:rsidR="00C93037" w:rsidRPr="00B57873">
        <w:rPr>
          <w:rFonts w:asciiTheme="minorHAnsi" w:eastAsia="Times New Roman" w:hAnsiTheme="minorHAnsi"/>
        </w:rPr>
        <w:t>are prohibited</w:t>
      </w:r>
      <w:r w:rsidR="002E4B5F" w:rsidRPr="00B57873">
        <w:rPr>
          <w:rFonts w:asciiTheme="minorHAnsi" w:eastAsia="Times New Roman" w:hAnsiTheme="minorHAnsi"/>
        </w:rPr>
        <w:t xml:space="preserve"> </w:t>
      </w:r>
      <w:r w:rsidR="00885925" w:rsidRPr="00B57873">
        <w:rPr>
          <w:rFonts w:asciiTheme="minorHAnsi" w:eastAsia="Times New Roman" w:hAnsiTheme="minorHAnsi"/>
        </w:rPr>
        <w:t xml:space="preserve">within the front yard setback </w:t>
      </w:r>
      <w:r w:rsidR="002E4B5F" w:rsidRPr="00B57873">
        <w:rPr>
          <w:rFonts w:asciiTheme="minorHAnsi" w:eastAsia="Times New Roman" w:hAnsiTheme="minorHAnsi"/>
        </w:rPr>
        <w:t>in the mapped area</w:t>
      </w:r>
      <w:r w:rsidR="00885925" w:rsidRPr="00B57873">
        <w:rPr>
          <w:rFonts w:asciiTheme="minorHAnsi" w:eastAsia="Times New Roman" w:hAnsiTheme="minorHAnsi"/>
        </w:rPr>
        <w:t>s</w:t>
      </w:r>
      <w:r w:rsidR="002E4B5F" w:rsidRPr="00B57873">
        <w:rPr>
          <w:rFonts w:asciiTheme="minorHAnsi" w:eastAsia="Times New Roman" w:hAnsiTheme="minorHAnsi"/>
        </w:rPr>
        <w:t xml:space="preserve"> (Monte Vista and College View Historic District</w:t>
      </w:r>
      <w:r w:rsidR="00885925" w:rsidRPr="00B57873">
        <w:rPr>
          <w:rFonts w:asciiTheme="minorHAnsi" w:eastAsia="Times New Roman" w:hAnsiTheme="minorHAnsi"/>
        </w:rPr>
        <w:t xml:space="preserve"> is one of the mapped areas</w:t>
      </w:r>
      <w:r w:rsidR="002E4B5F" w:rsidRPr="00B57873">
        <w:rPr>
          <w:rFonts w:asciiTheme="minorHAnsi" w:eastAsia="Times New Roman" w:hAnsiTheme="minorHAnsi"/>
        </w:rPr>
        <w:t>)</w:t>
      </w:r>
      <w:r w:rsidR="007E10A4" w:rsidRPr="00B57873">
        <w:rPr>
          <w:rFonts w:asciiTheme="minorHAnsi" w:eastAsia="Times New Roman" w:hAnsiTheme="minorHAnsi"/>
        </w:rPr>
        <w:t xml:space="preserve"> 5-5(F</w:t>
      </w:r>
      <w:r w:rsidR="005C5A9F" w:rsidRPr="00B57873">
        <w:rPr>
          <w:rFonts w:asciiTheme="minorHAnsi" w:eastAsia="Times New Roman" w:hAnsiTheme="minorHAnsi"/>
        </w:rPr>
        <w:t>) (</w:t>
      </w:r>
      <w:r w:rsidR="007E10A4" w:rsidRPr="00B57873">
        <w:rPr>
          <w:rFonts w:asciiTheme="minorHAnsi" w:eastAsia="Times New Roman" w:hAnsiTheme="minorHAnsi"/>
        </w:rPr>
        <w:t>2)…page 287</w:t>
      </w:r>
      <w:r w:rsidR="002E4B5F" w:rsidRPr="00B57873">
        <w:rPr>
          <w:rFonts w:asciiTheme="minorHAnsi" w:eastAsia="Times New Roman" w:hAnsiTheme="minorHAnsi"/>
        </w:rPr>
        <w:t>….</w:t>
      </w:r>
      <w:r w:rsidR="00C93037" w:rsidRPr="00BC480F">
        <w:rPr>
          <w:rFonts w:asciiTheme="minorHAnsi" w:eastAsia="Times New Roman" w:hAnsiTheme="minorHAnsi"/>
        </w:rPr>
        <w:t>this is consistent with</w:t>
      </w:r>
      <w:r w:rsidR="00C93037" w:rsidRPr="00BC480F">
        <w:rPr>
          <w:rFonts w:asciiTheme="minorHAnsi" w:eastAsia="Times New Roman" w:hAnsiTheme="minorHAnsi"/>
          <w:b/>
        </w:rPr>
        <w:t xml:space="preserve"> </w:t>
      </w:r>
      <w:r w:rsidR="00B7676E" w:rsidRPr="00BC480F">
        <w:rPr>
          <w:rFonts w:asciiTheme="minorHAnsi" w:eastAsia="Times New Roman" w:hAnsiTheme="minorHAnsi"/>
        </w:rPr>
        <w:t xml:space="preserve">the </w:t>
      </w:r>
      <w:r w:rsidR="007E10A4" w:rsidRPr="00BC480F">
        <w:rPr>
          <w:rFonts w:asciiTheme="minorHAnsi" w:eastAsia="Times New Roman" w:hAnsiTheme="minorHAnsi"/>
        </w:rPr>
        <w:t>s</w:t>
      </w:r>
      <w:r w:rsidR="00B7676E" w:rsidRPr="00BC480F">
        <w:rPr>
          <w:rFonts w:asciiTheme="minorHAnsi" w:eastAsia="Times New Roman" w:hAnsiTheme="minorHAnsi"/>
        </w:rPr>
        <w:t xml:space="preserve">ector </w:t>
      </w:r>
      <w:r w:rsidR="007E10A4" w:rsidRPr="00BC480F">
        <w:rPr>
          <w:rFonts w:asciiTheme="minorHAnsi" w:eastAsia="Times New Roman" w:hAnsiTheme="minorHAnsi"/>
        </w:rPr>
        <w:t>p</w:t>
      </w:r>
      <w:r w:rsidR="00B7676E" w:rsidRPr="00BC480F">
        <w:rPr>
          <w:rFonts w:asciiTheme="minorHAnsi" w:eastAsia="Times New Roman" w:hAnsiTheme="minorHAnsi"/>
        </w:rPr>
        <w:t>lan</w:t>
      </w:r>
      <w:r w:rsidR="00B05DCA" w:rsidRPr="00BC480F">
        <w:rPr>
          <w:rFonts w:asciiTheme="minorHAnsi" w:eastAsia="Times New Roman" w:hAnsiTheme="minorHAnsi"/>
        </w:rPr>
        <w:t xml:space="preserve">. </w:t>
      </w:r>
      <w:r w:rsidR="00B7676E" w:rsidRPr="00BC480F">
        <w:rPr>
          <w:rFonts w:asciiTheme="minorHAnsi" w:eastAsia="Times New Roman" w:hAnsiTheme="minorHAnsi"/>
        </w:rPr>
        <w:t xml:space="preserve">NHNA </w:t>
      </w:r>
      <w:r w:rsidR="00301BB0" w:rsidRPr="00BC480F">
        <w:rPr>
          <w:rFonts w:asciiTheme="minorHAnsi" w:eastAsia="Times New Roman" w:hAnsiTheme="minorHAnsi"/>
        </w:rPr>
        <w:t xml:space="preserve">board </w:t>
      </w:r>
      <w:r w:rsidR="00B7676E" w:rsidRPr="00BC480F">
        <w:rPr>
          <w:rFonts w:asciiTheme="minorHAnsi" w:eastAsia="Times New Roman" w:hAnsiTheme="minorHAnsi"/>
        </w:rPr>
        <w:t>voted 10-1</w:t>
      </w:r>
      <w:r w:rsidR="00C93037" w:rsidRPr="00BC480F">
        <w:rPr>
          <w:rFonts w:asciiTheme="minorHAnsi" w:eastAsia="Times New Roman" w:hAnsiTheme="minorHAnsi"/>
        </w:rPr>
        <w:t>, 1 abstain</w:t>
      </w:r>
      <w:r w:rsidR="00DE2FD9" w:rsidRPr="00BC480F">
        <w:rPr>
          <w:rFonts w:asciiTheme="minorHAnsi" w:eastAsia="Times New Roman" w:hAnsiTheme="minorHAnsi"/>
        </w:rPr>
        <w:t>,</w:t>
      </w:r>
      <w:r w:rsidR="00B7676E" w:rsidRPr="00BC480F">
        <w:rPr>
          <w:rFonts w:asciiTheme="minorHAnsi" w:eastAsia="Times New Roman" w:hAnsiTheme="minorHAnsi"/>
        </w:rPr>
        <w:t xml:space="preserve"> </w:t>
      </w:r>
      <w:r w:rsidR="00F33178" w:rsidRPr="00BC480F">
        <w:rPr>
          <w:rFonts w:asciiTheme="minorHAnsi" w:eastAsia="Times New Roman" w:hAnsiTheme="minorHAnsi"/>
        </w:rPr>
        <w:t>in support.</w:t>
      </w:r>
    </w:p>
    <w:p w:rsidR="002774C9" w:rsidRPr="00BC480F" w:rsidRDefault="002774C9" w:rsidP="001347F0">
      <w:pPr>
        <w:pStyle w:val="ListParagraph"/>
        <w:rPr>
          <w:rFonts w:asciiTheme="minorHAnsi" w:eastAsia="Times New Roman" w:hAnsiTheme="minorHAnsi"/>
          <w:color w:val="000000"/>
        </w:rPr>
      </w:pPr>
    </w:p>
    <w:p w:rsidR="000C496F" w:rsidRPr="00BC480F" w:rsidRDefault="00BC480F" w:rsidP="00F31281">
      <w:pPr>
        <w:rPr>
          <w:rFonts w:asciiTheme="minorHAnsi" w:eastAsia="Times New Roman" w:hAnsiTheme="minorHAnsi"/>
        </w:rPr>
      </w:pPr>
      <w:r w:rsidRPr="00BC480F">
        <w:rPr>
          <w:rFonts w:asciiTheme="minorHAnsi" w:eastAsia="Times New Roman" w:hAnsiTheme="minorHAnsi" w:cs="Arial"/>
        </w:rPr>
        <w:t xml:space="preserve">12. </w:t>
      </w:r>
      <w:r w:rsidR="00B57873" w:rsidRPr="00B57873">
        <w:rPr>
          <w:rFonts w:asciiTheme="minorHAnsi" w:eastAsia="Times New Roman" w:hAnsiTheme="minorHAnsi" w:cs="Arial"/>
          <w:b/>
        </w:rPr>
        <w:t>Off Premise Signs</w:t>
      </w:r>
      <w:r w:rsidR="00B57873">
        <w:rPr>
          <w:rFonts w:asciiTheme="minorHAnsi" w:eastAsia="Times New Roman" w:hAnsiTheme="minorHAnsi" w:cs="Arial"/>
        </w:rPr>
        <w:t>…</w:t>
      </w:r>
      <w:r w:rsidR="007E10A4" w:rsidRPr="00BC480F">
        <w:rPr>
          <w:rFonts w:asciiTheme="minorHAnsi" w:eastAsia="Times New Roman" w:hAnsiTheme="minorHAnsi" w:cs="Arial"/>
        </w:rPr>
        <w:t xml:space="preserve">Draft </w:t>
      </w:r>
      <w:r w:rsidR="00C505CF" w:rsidRPr="00BC480F">
        <w:rPr>
          <w:rFonts w:asciiTheme="minorHAnsi" w:eastAsia="Times New Roman" w:hAnsiTheme="minorHAnsi"/>
        </w:rPr>
        <w:t>states: Off premise signs are not allowed in the following mapped areas (Nob Hill CPO-6 is one of the areas</w:t>
      </w:r>
      <w:r w:rsidR="00E121AE" w:rsidRPr="00BC480F">
        <w:rPr>
          <w:rFonts w:asciiTheme="minorHAnsi" w:eastAsia="Times New Roman" w:hAnsiTheme="minorHAnsi"/>
        </w:rPr>
        <w:t>)</w:t>
      </w:r>
      <w:r w:rsidR="007E10A4" w:rsidRPr="00BC480F">
        <w:rPr>
          <w:rFonts w:asciiTheme="minorHAnsi" w:eastAsia="Times New Roman" w:hAnsiTheme="minorHAnsi"/>
        </w:rPr>
        <w:t xml:space="preserve"> </w:t>
      </w:r>
      <w:r w:rsidR="007E10A4" w:rsidRPr="00BC480F">
        <w:rPr>
          <w:rFonts w:asciiTheme="minorHAnsi" w:eastAsia="Times New Roman" w:hAnsiTheme="minorHAnsi" w:cs="Arial"/>
        </w:rPr>
        <w:t>NHNA board voted 11-0 in support</w:t>
      </w:r>
      <w:r w:rsidR="00CD1003" w:rsidRPr="00BC480F">
        <w:rPr>
          <w:rFonts w:asciiTheme="minorHAnsi" w:eastAsia="Times New Roman" w:hAnsiTheme="minorHAnsi" w:cs="Arial"/>
        </w:rPr>
        <w:t>.</w:t>
      </w:r>
    </w:p>
    <w:p w:rsidR="00467950" w:rsidRPr="00BC480F" w:rsidRDefault="00467950" w:rsidP="001347F0">
      <w:pPr>
        <w:ind w:left="270"/>
        <w:rPr>
          <w:rFonts w:asciiTheme="minorHAnsi" w:eastAsia="Times New Roman" w:hAnsiTheme="minorHAnsi" w:cs="Arial"/>
        </w:rPr>
      </w:pPr>
    </w:p>
    <w:p w:rsidR="00467950" w:rsidRPr="00BC480F" w:rsidRDefault="00BC480F" w:rsidP="00F31281">
      <w:pPr>
        <w:rPr>
          <w:rFonts w:asciiTheme="minorHAnsi" w:eastAsia="Times New Roman" w:hAnsiTheme="minorHAnsi"/>
        </w:rPr>
      </w:pPr>
      <w:r w:rsidRPr="00BC480F">
        <w:rPr>
          <w:rFonts w:asciiTheme="minorHAnsi" w:eastAsia="Times New Roman" w:hAnsiTheme="minorHAnsi"/>
          <w:b/>
        </w:rPr>
        <w:t xml:space="preserve">13. </w:t>
      </w:r>
      <w:r w:rsidR="00B57873">
        <w:rPr>
          <w:rFonts w:asciiTheme="minorHAnsi" w:eastAsia="Times New Roman" w:hAnsiTheme="minorHAnsi"/>
          <w:b/>
        </w:rPr>
        <w:t>Second Story Additions (Residential)…</w:t>
      </w:r>
      <w:r w:rsidR="00467950" w:rsidRPr="00B57873">
        <w:rPr>
          <w:rFonts w:asciiTheme="minorHAnsi" w:eastAsia="Times New Roman" w:hAnsiTheme="minorHAnsi"/>
        </w:rPr>
        <w:t xml:space="preserve">Draft states: In the areas listed (includes Nob Hill Highland area) </w:t>
      </w:r>
      <w:r w:rsidR="004340B4" w:rsidRPr="00B57873">
        <w:rPr>
          <w:rFonts w:asciiTheme="minorHAnsi" w:eastAsia="Times New Roman" w:hAnsiTheme="minorHAnsi"/>
        </w:rPr>
        <w:t>s</w:t>
      </w:r>
      <w:r w:rsidR="00467950" w:rsidRPr="00B57873">
        <w:rPr>
          <w:rFonts w:asciiTheme="minorHAnsi" w:eastAsia="Times New Roman" w:hAnsiTheme="minorHAnsi"/>
        </w:rPr>
        <w:t>econd story additions to existing buildings (residential) shall incorporate a minimum step back of six ft from the front façade</w:t>
      </w:r>
      <w:r w:rsidR="00467950" w:rsidRPr="00BC480F">
        <w:rPr>
          <w:rFonts w:asciiTheme="minorHAnsi" w:eastAsia="Times New Roman" w:hAnsiTheme="minorHAnsi"/>
          <w:b/>
        </w:rPr>
        <w:t xml:space="preserve">. </w:t>
      </w:r>
      <w:r w:rsidR="00467950" w:rsidRPr="00BC480F">
        <w:rPr>
          <w:rFonts w:asciiTheme="minorHAnsi" w:eastAsia="Times New Roman" w:hAnsiTheme="minorHAnsi"/>
        </w:rPr>
        <w:t xml:space="preserve">NHNA </w:t>
      </w:r>
      <w:r w:rsidR="004340B4" w:rsidRPr="00BC480F">
        <w:rPr>
          <w:rFonts w:asciiTheme="minorHAnsi" w:eastAsia="Times New Roman" w:hAnsiTheme="minorHAnsi"/>
        </w:rPr>
        <w:t>board</w:t>
      </w:r>
      <w:r w:rsidR="00467950" w:rsidRPr="00BC480F">
        <w:rPr>
          <w:rFonts w:asciiTheme="minorHAnsi" w:eastAsia="Times New Roman" w:hAnsiTheme="minorHAnsi"/>
        </w:rPr>
        <w:t xml:space="preserve"> voted 9-0, 1 </w:t>
      </w:r>
      <w:r w:rsidR="005C5A9F" w:rsidRPr="00BC480F">
        <w:rPr>
          <w:rFonts w:asciiTheme="minorHAnsi" w:eastAsia="Times New Roman" w:hAnsiTheme="minorHAnsi"/>
        </w:rPr>
        <w:t>abstains</w:t>
      </w:r>
      <w:r w:rsidR="00467950" w:rsidRPr="00BC480F">
        <w:rPr>
          <w:rFonts w:asciiTheme="minorHAnsi" w:eastAsia="Times New Roman" w:hAnsiTheme="minorHAnsi"/>
        </w:rPr>
        <w:t xml:space="preserve">, to </w:t>
      </w:r>
      <w:r w:rsidR="004340B4" w:rsidRPr="00BC480F">
        <w:rPr>
          <w:rFonts w:asciiTheme="minorHAnsi" w:eastAsia="Times New Roman" w:hAnsiTheme="minorHAnsi"/>
        </w:rPr>
        <w:t>maintain</w:t>
      </w:r>
      <w:r w:rsidR="00467950" w:rsidRPr="00BC480F">
        <w:rPr>
          <w:rFonts w:asciiTheme="minorHAnsi" w:eastAsia="Times New Roman" w:hAnsiTheme="minorHAnsi"/>
        </w:rPr>
        <w:t xml:space="preserve"> sector plan language</w:t>
      </w:r>
      <w:r w:rsidR="004340B4" w:rsidRPr="00BC480F">
        <w:rPr>
          <w:rFonts w:asciiTheme="minorHAnsi" w:eastAsia="Times New Roman" w:hAnsiTheme="minorHAnsi"/>
        </w:rPr>
        <w:t xml:space="preserve"> </w:t>
      </w:r>
      <w:r w:rsidR="00467950" w:rsidRPr="00BC480F">
        <w:rPr>
          <w:rFonts w:asciiTheme="minorHAnsi" w:eastAsia="Times New Roman" w:hAnsiTheme="minorHAnsi"/>
        </w:rPr>
        <w:t xml:space="preserve">…page 107… “Second story additions to existing buildings must be set back a minimum of 5 ft from </w:t>
      </w:r>
      <w:r w:rsidR="004340B4" w:rsidRPr="00BC480F">
        <w:rPr>
          <w:rFonts w:asciiTheme="minorHAnsi" w:eastAsia="Times New Roman" w:hAnsiTheme="minorHAnsi"/>
        </w:rPr>
        <w:t xml:space="preserve"> </w:t>
      </w:r>
      <w:r w:rsidR="00467950" w:rsidRPr="00BC480F">
        <w:rPr>
          <w:rFonts w:asciiTheme="minorHAnsi" w:eastAsia="Times New Roman" w:hAnsiTheme="minorHAnsi"/>
        </w:rPr>
        <w:t>the front façade to preserve scale of the original building…</w:t>
      </w:r>
      <w:r w:rsidR="001E0AC0" w:rsidRPr="00BC480F">
        <w:rPr>
          <w:rFonts w:asciiTheme="minorHAnsi" w:eastAsia="Times New Roman" w:hAnsiTheme="minorHAnsi"/>
        </w:rPr>
        <w:t>Th</w:t>
      </w:r>
      <w:r w:rsidR="0066232D" w:rsidRPr="00BC480F">
        <w:rPr>
          <w:rFonts w:asciiTheme="minorHAnsi" w:eastAsia="Times New Roman" w:hAnsiTheme="minorHAnsi"/>
        </w:rPr>
        <w:t>e draft</w:t>
      </w:r>
      <w:r w:rsidR="001E0AC0" w:rsidRPr="00BC480F">
        <w:rPr>
          <w:rFonts w:asciiTheme="minorHAnsi" w:eastAsia="Times New Roman" w:hAnsiTheme="minorHAnsi"/>
        </w:rPr>
        <w:t xml:space="preserve"> does, although making the step back 6 feet to conform with the standard in several other areas.</w:t>
      </w:r>
    </w:p>
    <w:p w:rsidR="00467950" w:rsidRPr="00BC480F" w:rsidRDefault="00467950" w:rsidP="001347F0">
      <w:pPr>
        <w:ind w:left="270"/>
        <w:rPr>
          <w:rFonts w:asciiTheme="minorHAnsi" w:eastAsia="Times New Roman" w:hAnsiTheme="minorHAnsi" w:cs="Arial"/>
        </w:rPr>
      </w:pPr>
    </w:p>
    <w:p w:rsidR="00FC153E" w:rsidRPr="00BC480F" w:rsidRDefault="00BC480F" w:rsidP="00FC153E">
      <w:pPr>
        <w:rPr>
          <w:rFonts w:asciiTheme="minorHAnsi" w:eastAsia="Times New Roman" w:hAnsiTheme="minorHAnsi" w:cs="Arial"/>
          <w:b/>
        </w:rPr>
      </w:pPr>
      <w:r w:rsidRPr="00BC480F">
        <w:rPr>
          <w:rFonts w:asciiTheme="minorHAnsi" w:eastAsia="Times New Roman" w:hAnsiTheme="minorHAnsi" w:cs="Arial"/>
          <w:b/>
        </w:rPr>
        <w:t xml:space="preserve">14. </w:t>
      </w:r>
      <w:r w:rsidR="00130160" w:rsidRPr="00BC480F">
        <w:rPr>
          <w:rFonts w:asciiTheme="minorHAnsi" w:eastAsia="Times New Roman" w:hAnsiTheme="minorHAnsi" w:cs="Arial"/>
          <w:b/>
        </w:rPr>
        <w:t>5-9(B)</w:t>
      </w:r>
      <w:r w:rsidR="00FC153E" w:rsidRPr="00BC480F">
        <w:rPr>
          <w:rFonts w:asciiTheme="minorHAnsi" w:eastAsia="Times New Roman" w:hAnsiTheme="minorHAnsi" w:cs="Arial"/>
          <w:b/>
        </w:rPr>
        <w:t>.…Neighborhood Edges…</w:t>
      </w:r>
      <w:r w:rsidR="00FC153E" w:rsidRPr="00BC480F">
        <w:rPr>
          <w:rFonts w:asciiTheme="minorHAnsi" w:eastAsia="Times New Roman" w:hAnsiTheme="minorHAnsi" w:cs="Arial"/>
        </w:rPr>
        <w:t>Protected Lots…</w:t>
      </w:r>
      <w:r w:rsidR="00B57873">
        <w:rPr>
          <w:rFonts w:asciiTheme="minorHAnsi" w:eastAsia="Times New Roman" w:hAnsiTheme="minorHAnsi" w:cs="Arial"/>
        </w:rPr>
        <w:t>D</w:t>
      </w:r>
      <w:r w:rsidR="00FC153E" w:rsidRPr="00BC480F">
        <w:rPr>
          <w:rFonts w:asciiTheme="minorHAnsi" w:eastAsia="Times New Roman" w:hAnsiTheme="minorHAnsi" w:cs="Arial"/>
        </w:rPr>
        <w:t>raft states:</w:t>
      </w:r>
      <w:r w:rsidR="003B503B" w:rsidRPr="00BC480F">
        <w:rPr>
          <w:rFonts w:asciiTheme="minorHAnsi" w:eastAsia="Times New Roman" w:hAnsiTheme="minorHAnsi" w:cs="Arial"/>
        </w:rPr>
        <w:t xml:space="preserve"> Neighborhood Edges…are </w:t>
      </w:r>
      <w:r w:rsidR="00FC153E" w:rsidRPr="00BC480F">
        <w:rPr>
          <w:rFonts w:asciiTheme="minorHAnsi" w:eastAsia="Times New Roman" w:hAnsiTheme="minorHAnsi" w:cs="Arial"/>
        </w:rPr>
        <w:t>intended to protect lots in a…R-1 or…R-T zone district that contain a household living use (as shown in Table 3-2-1) other than a multi-family dwelling use (</w:t>
      </w:r>
      <w:r w:rsidR="005C5A9F">
        <w:rPr>
          <w:rFonts w:asciiTheme="minorHAnsi" w:eastAsia="Times New Roman" w:hAnsiTheme="minorHAnsi" w:cs="Arial"/>
        </w:rPr>
        <w:t>multi-family uses have</w:t>
      </w:r>
      <w:r w:rsidR="003B503B" w:rsidRPr="00BC480F">
        <w:rPr>
          <w:rFonts w:asciiTheme="minorHAnsi" w:eastAsia="Times New Roman" w:hAnsiTheme="minorHAnsi" w:cs="Arial"/>
        </w:rPr>
        <w:t xml:space="preserve"> some entrances on or above the second</w:t>
      </w:r>
      <w:r w:rsidR="00FC153E" w:rsidRPr="00BC480F">
        <w:rPr>
          <w:rFonts w:asciiTheme="minorHAnsi" w:eastAsia="Times New Roman" w:hAnsiTheme="minorHAnsi" w:cs="Arial"/>
        </w:rPr>
        <w:t xml:space="preserve"> </w:t>
      </w:r>
      <w:r w:rsidR="00FC153E" w:rsidRPr="005C5A9F">
        <w:rPr>
          <w:rFonts w:asciiTheme="minorHAnsi" w:eastAsia="Times New Roman" w:hAnsiTheme="minorHAnsi" w:cs="Arial"/>
        </w:rPr>
        <w:t>floor)…..</w:t>
      </w:r>
      <w:r w:rsidR="003B503B" w:rsidRPr="005C5A9F">
        <w:rPr>
          <w:rFonts w:asciiTheme="minorHAnsi" w:eastAsia="Times New Roman" w:hAnsiTheme="minorHAnsi" w:cs="Arial"/>
        </w:rPr>
        <w:t>L</w:t>
      </w:r>
      <w:r w:rsidR="00FC153E" w:rsidRPr="005C5A9F">
        <w:rPr>
          <w:rFonts w:asciiTheme="minorHAnsi" w:eastAsia="Times New Roman" w:hAnsiTheme="minorHAnsi" w:cs="Arial"/>
        </w:rPr>
        <w:t>ots regulated by this section…include</w:t>
      </w:r>
      <w:r w:rsidR="00FC153E" w:rsidRPr="00BC480F">
        <w:rPr>
          <w:rFonts w:asciiTheme="minorHAnsi" w:eastAsia="Times New Roman" w:hAnsiTheme="minorHAnsi" w:cs="Arial"/>
        </w:rPr>
        <w:t xml:space="preserve"> all those in </w:t>
      </w:r>
      <w:r w:rsidR="00FC153E" w:rsidRPr="00BC480F">
        <w:rPr>
          <w:rFonts w:asciiTheme="minorHAnsi" w:eastAsia="Times New Roman" w:hAnsiTheme="minorHAnsi" w:cs="Arial"/>
        </w:rPr>
        <w:lastRenderedPageBreak/>
        <w:t xml:space="preserve">a..…mixed use or non-residential zone </w:t>
      </w:r>
      <w:r w:rsidR="005C5A9F" w:rsidRPr="00BC480F">
        <w:rPr>
          <w:rFonts w:asciiTheme="minorHAnsi" w:eastAsia="Times New Roman" w:hAnsiTheme="minorHAnsi" w:cs="Arial"/>
        </w:rPr>
        <w:t>district that is</w:t>
      </w:r>
      <w:r w:rsidR="00FC153E" w:rsidRPr="00BC480F">
        <w:rPr>
          <w:rFonts w:asciiTheme="minorHAnsi" w:eastAsia="Times New Roman" w:hAnsiTheme="minorHAnsi" w:cs="Arial"/>
        </w:rPr>
        <w:t xml:space="preserve"> </w:t>
      </w:r>
      <w:r w:rsidR="00FC153E" w:rsidRPr="005C5A9F">
        <w:rPr>
          <w:rFonts w:asciiTheme="minorHAnsi" w:eastAsia="Times New Roman" w:hAnsiTheme="minorHAnsi" w:cs="Arial"/>
        </w:rPr>
        <w:t>adjacent to a protected</w:t>
      </w:r>
      <w:r w:rsidR="00FC153E" w:rsidRPr="00BC480F">
        <w:rPr>
          <w:rFonts w:asciiTheme="minorHAnsi" w:eastAsia="Times New Roman" w:hAnsiTheme="minorHAnsi" w:cs="Arial"/>
        </w:rPr>
        <w:t xml:space="preserve"> lot…development on regulated lots is limited to 30 ft high within 100 ft of a protected lot line. ….in comment 1143 staff state: </w:t>
      </w:r>
      <w:r w:rsidR="00FC153E" w:rsidRPr="00BC480F">
        <w:rPr>
          <w:rFonts w:asciiTheme="minorHAnsi" w:eastAsia="Times New Roman" w:hAnsiTheme="minorHAnsi" w:cs="Arial"/>
          <w:i/>
        </w:rPr>
        <w:t>‘Staff believes this comment refers to parcels currently zoned MRHD in the sector plan. These properties are currently proposed to convert to R-T. Therefore, the neighborhood edge provision would be triggered by this zone.”</w:t>
      </w:r>
      <w:r w:rsidR="00FC153E" w:rsidRPr="00BC480F">
        <w:rPr>
          <w:rFonts w:asciiTheme="minorHAnsi" w:eastAsia="Times New Roman" w:hAnsiTheme="minorHAnsi" w:cs="Arial"/>
        </w:rPr>
        <w:t>….</w:t>
      </w:r>
      <w:r w:rsidR="00FC153E" w:rsidRPr="00BC480F">
        <w:rPr>
          <w:rFonts w:asciiTheme="minorHAnsi" w:eastAsia="Times New Roman" w:hAnsiTheme="minorHAnsi" w:cs="Arial"/>
          <w:b/>
        </w:rPr>
        <w:t xml:space="preserve">NHNA </w:t>
      </w:r>
      <w:r w:rsidR="00587E0C" w:rsidRPr="00BC480F">
        <w:rPr>
          <w:rFonts w:asciiTheme="minorHAnsi" w:eastAsia="Times New Roman" w:hAnsiTheme="minorHAnsi" w:cs="Arial"/>
          <w:b/>
        </w:rPr>
        <w:t>states that the</w:t>
      </w:r>
      <w:r w:rsidR="00FC153E" w:rsidRPr="00BC480F">
        <w:rPr>
          <w:rFonts w:asciiTheme="minorHAnsi" w:eastAsia="Times New Roman" w:hAnsiTheme="minorHAnsi" w:cs="Arial"/>
          <w:b/>
        </w:rPr>
        <w:t xml:space="preserve"> operative horizontal distance</w:t>
      </w:r>
      <w:r w:rsidR="00587E0C" w:rsidRPr="00BC480F">
        <w:rPr>
          <w:rFonts w:asciiTheme="minorHAnsi" w:eastAsia="Times New Roman" w:hAnsiTheme="minorHAnsi" w:cs="Arial"/>
          <w:b/>
        </w:rPr>
        <w:t xml:space="preserve"> of 100 feet is to be unchanged AND n</w:t>
      </w:r>
      <w:r w:rsidR="00FB1A39" w:rsidRPr="00BC480F">
        <w:rPr>
          <w:rFonts w:asciiTheme="minorHAnsi" w:eastAsia="Times New Roman" w:hAnsiTheme="minorHAnsi" w:cs="Arial"/>
          <w:b/>
        </w:rPr>
        <w:t xml:space="preserve">eighborhood </w:t>
      </w:r>
      <w:r w:rsidR="00587E0C" w:rsidRPr="00BC480F">
        <w:rPr>
          <w:rFonts w:asciiTheme="minorHAnsi" w:eastAsia="Times New Roman" w:hAnsiTheme="minorHAnsi" w:cs="Arial"/>
          <w:b/>
        </w:rPr>
        <w:t>e</w:t>
      </w:r>
      <w:r w:rsidR="00FB1A39" w:rsidRPr="00BC480F">
        <w:rPr>
          <w:rFonts w:asciiTheme="minorHAnsi" w:eastAsia="Times New Roman" w:hAnsiTheme="minorHAnsi" w:cs="Arial"/>
          <w:b/>
        </w:rPr>
        <w:t xml:space="preserve">dge protection needs to survive even </w:t>
      </w:r>
      <w:r w:rsidR="00130160" w:rsidRPr="00BC480F">
        <w:rPr>
          <w:rFonts w:asciiTheme="minorHAnsi" w:eastAsia="Times New Roman" w:hAnsiTheme="minorHAnsi" w:cs="Arial"/>
          <w:b/>
        </w:rPr>
        <w:t>if</w:t>
      </w:r>
      <w:r w:rsidR="00FB1A39" w:rsidRPr="00BC480F">
        <w:rPr>
          <w:rFonts w:asciiTheme="minorHAnsi" w:eastAsia="Times New Roman" w:hAnsiTheme="minorHAnsi" w:cs="Arial"/>
          <w:b/>
        </w:rPr>
        <w:t xml:space="preserve"> the </w:t>
      </w:r>
      <w:r w:rsidR="00130160" w:rsidRPr="00BC480F">
        <w:rPr>
          <w:rFonts w:asciiTheme="minorHAnsi" w:eastAsia="Times New Roman" w:hAnsiTheme="minorHAnsi" w:cs="Arial"/>
          <w:b/>
        </w:rPr>
        <w:t xml:space="preserve">regulated lot uses </w:t>
      </w:r>
      <w:r w:rsidR="0066232D" w:rsidRPr="00BC480F">
        <w:rPr>
          <w:rFonts w:asciiTheme="minorHAnsi" w:eastAsia="Times New Roman" w:hAnsiTheme="minorHAnsi" w:cs="Arial"/>
          <w:b/>
        </w:rPr>
        <w:t xml:space="preserve">a </w:t>
      </w:r>
      <w:r w:rsidR="00130160" w:rsidRPr="00BC480F">
        <w:rPr>
          <w:rFonts w:asciiTheme="minorHAnsi" w:eastAsia="Times New Roman" w:hAnsiTheme="minorHAnsi" w:cs="Arial"/>
          <w:b/>
        </w:rPr>
        <w:t>Premium Transit bonus….</w:t>
      </w:r>
      <w:r w:rsidR="00FC153E" w:rsidRPr="00BC480F">
        <w:rPr>
          <w:rFonts w:asciiTheme="minorHAnsi" w:eastAsia="Times New Roman" w:hAnsiTheme="minorHAnsi" w:cs="Arial"/>
          <w:b/>
        </w:rPr>
        <w:t>Supported by board unanimously on July 10.</w:t>
      </w:r>
    </w:p>
    <w:p w:rsidR="002C6750" w:rsidRPr="00BC480F" w:rsidRDefault="002C6750" w:rsidP="001347F0">
      <w:pPr>
        <w:ind w:left="270"/>
        <w:rPr>
          <w:rFonts w:asciiTheme="minorHAnsi" w:eastAsia="Times New Roman" w:hAnsiTheme="minorHAnsi"/>
          <w:color w:val="000000"/>
        </w:rPr>
      </w:pPr>
    </w:p>
    <w:p w:rsidR="00FC153E" w:rsidRPr="00BC480F" w:rsidRDefault="00BC480F" w:rsidP="00FC153E">
      <w:pPr>
        <w:rPr>
          <w:rFonts w:asciiTheme="minorHAnsi" w:eastAsia="Times New Roman" w:hAnsiTheme="minorHAnsi"/>
        </w:rPr>
      </w:pPr>
      <w:r w:rsidRPr="00BC480F">
        <w:rPr>
          <w:rFonts w:asciiTheme="minorHAnsi" w:hAnsiTheme="minorHAnsi"/>
          <w:b/>
        </w:rPr>
        <w:t xml:space="preserve">15. </w:t>
      </w:r>
      <w:r w:rsidR="007B22DE" w:rsidRPr="00BC480F">
        <w:rPr>
          <w:rFonts w:asciiTheme="minorHAnsi" w:hAnsiTheme="minorHAnsi"/>
          <w:b/>
        </w:rPr>
        <w:t>Liquor Retail</w:t>
      </w:r>
      <w:r w:rsidR="007B22DE" w:rsidRPr="005C5A9F">
        <w:rPr>
          <w:rFonts w:asciiTheme="minorHAnsi" w:hAnsiTheme="minorHAnsi"/>
        </w:rPr>
        <w:t>…</w:t>
      </w:r>
      <w:r w:rsidR="005C5A9F" w:rsidRPr="005C5A9F">
        <w:rPr>
          <w:rFonts w:asciiTheme="minorHAnsi" w:hAnsiTheme="minorHAnsi"/>
        </w:rPr>
        <w:t>4-3(D) (31) (c)…</w:t>
      </w:r>
      <w:r w:rsidRPr="005C5A9F">
        <w:rPr>
          <w:rFonts w:asciiTheme="minorHAnsi" w:hAnsiTheme="minorHAnsi"/>
        </w:rPr>
        <w:t>D</w:t>
      </w:r>
      <w:r w:rsidR="007B22DE" w:rsidRPr="005C5A9F">
        <w:rPr>
          <w:rFonts w:asciiTheme="minorHAnsi" w:hAnsiTheme="minorHAnsi"/>
        </w:rPr>
        <w:t>raft</w:t>
      </w:r>
      <w:r w:rsidR="005C5A9F">
        <w:rPr>
          <w:rFonts w:asciiTheme="minorHAnsi" w:hAnsiTheme="minorHAnsi"/>
        </w:rPr>
        <w:t xml:space="preserve"> states: </w:t>
      </w:r>
      <w:r w:rsidR="007B22DE" w:rsidRPr="00BC480F">
        <w:rPr>
          <w:rFonts w:asciiTheme="minorHAnsi" w:hAnsiTheme="minorHAnsi"/>
        </w:rPr>
        <w:t xml:space="preserve">this use is prohibited in the following locations: 1. </w:t>
      </w:r>
      <w:proofErr w:type="gramStart"/>
      <w:r w:rsidR="007B22DE" w:rsidRPr="00BC480F">
        <w:rPr>
          <w:rFonts w:asciiTheme="minorHAnsi" w:hAnsiTheme="minorHAnsi"/>
        </w:rPr>
        <w:t>Within</w:t>
      </w:r>
      <w:proofErr w:type="gramEnd"/>
      <w:r w:rsidR="007B22DE" w:rsidRPr="00BC480F">
        <w:rPr>
          <w:rFonts w:asciiTheme="minorHAnsi" w:hAnsiTheme="minorHAnsi"/>
        </w:rPr>
        <w:t xml:space="preserve"> 1,000 feet of any other liquor retail use. 2. Within 500 feet of any Residential or NR-PO zone district or any group home use. 3. Within 300 feet of any religious institution or elementary, middle, or high school..</w:t>
      </w:r>
      <w:r w:rsidR="00834539" w:rsidRPr="00BC480F">
        <w:rPr>
          <w:rFonts w:asciiTheme="minorHAnsi" w:eastAsia="Times New Roman" w:hAnsiTheme="minorHAnsi"/>
        </w:rPr>
        <w:t>.</w:t>
      </w:r>
      <w:r w:rsidR="00FC153E" w:rsidRPr="00BC480F">
        <w:rPr>
          <w:rFonts w:asciiTheme="minorHAnsi" w:eastAsia="Times New Roman" w:hAnsiTheme="minorHAnsi"/>
        </w:rPr>
        <w:t>Supported</w:t>
      </w:r>
      <w:r w:rsidR="00FC153E" w:rsidRPr="00BC480F">
        <w:rPr>
          <w:rFonts w:asciiTheme="minorHAnsi" w:eastAsia="Times New Roman" w:hAnsiTheme="minorHAnsi" w:cs="Arial"/>
        </w:rPr>
        <w:t xml:space="preserve"> by board unanimously on July 10.</w:t>
      </w:r>
    </w:p>
    <w:p w:rsidR="007C2A67" w:rsidRPr="00BC480F" w:rsidRDefault="007C2A67" w:rsidP="00C14213">
      <w:pPr>
        <w:shd w:val="clear" w:color="auto" w:fill="FFFFFF"/>
        <w:rPr>
          <w:rFonts w:asciiTheme="minorHAnsi" w:eastAsia="Times New Roman" w:hAnsiTheme="minorHAnsi" w:cs="Arial"/>
          <w:b/>
        </w:rPr>
      </w:pPr>
    </w:p>
    <w:p w:rsidR="00C14213" w:rsidRPr="00BC480F" w:rsidRDefault="00BC480F" w:rsidP="00C14213">
      <w:pPr>
        <w:shd w:val="clear" w:color="auto" w:fill="FFFFFF"/>
        <w:rPr>
          <w:rFonts w:asciiTheme="minorHAnsi" w:eastAsia="Times New Roman" w:hAnsiTheme="minorHAnsi" w:cs="Helvetica"/>
          <w:b/>
        </w:rPr>
      </w:pPr>
      <w:r w:rsidRPr="00BC480F">
        <w:rPr>
          <w:rFonts w:asciiTheme="minorHAnsi" w:eastAsia="Times New Roman" w:hAnsiTheme="minorHAnsi" w:cs="Helvetica"/>
          <w:b/>
        </w:rPr>
        <w:t xml:space="preserve">16. </w:t>
      </w:r>
      <w:r w:rsidR="00C14213" w:rsidRPr="00BC480F">
        <w:rPr>
          <w:rFonts w:asciiTheme="minorHAnsi" w:eastAsia="Times New Roman" w:hAnsiTheme="minorHAnsi" w:cs="Helvetica"/>
          <w:b/>
        </w:rPr>
        <w:t xml:space="preserve">Solar Access, </w:t>
      </w:r>
      <w:r w:rsidR="00C84C8E" w:rsidRPr="00BC480F">
        <w:rPr>
          <w:rFonts w:asciiTheme="minorHAnsi" w:eastAsia="Times New Roman" w:hAnsiTheme="minorHAnsi" w:cs="Helvetica"/>
          <w:b/>
        </w:rPr>
        <w:t>5-10(c)</w:t>
      </w:r>
      <w:r w:rsidR="00C14213" w:rsidRPr="00BC480F">
        <w:rPr>
          <w:rFonts w:asciiTheme="minorHAnsi" w:eastAsia="Times New Roman" w:hAnsiTheme="minorHAnsi" w:cs="Helvetica"/>
        </w:rPr>
        <w:t xml:space="preserve">…page 304…Draft states: </w:t>
      </w:r>
      <w:r w:rsidR="00C14213" w:rsidRPr="00BC480F">
        <w:rPr>
          <w:rFonts w:asciiTheme="minorHAnsi" w:eastAsia="Times New Roman" w:hAnsiTheme="minorHAnsi" w:cs="Helvetica"/>
          <w:i/>
        </w:rPr>
        <w:t>“The building heights shall not exceed the following heights, determined by the distance cardinally south from the northern boundary of the lot as shown in Table 4-9-1 or angle plane equivalent. Distances in Table 4-9-1 have been calibrated to a 32 degree angle that allows one hour of Winter Solstice sunlight that hits at least two feet up on a southern-facing wall located 10 feet from the property line.”</w:t>
      </w:r>
      <w:r w:rsidR="00C14213" w:rsidRPr="00BC480F">
        <w:rPr>
          <w:rFonts w:asciiTheme="minorHAnsi" w:eastAsia="Times New Roman" w:hAnsiTheme="minorHAnsi" w:cs="Helvetica"/>
        </w:rPr>
        <w:t xml:space="preserve">…EPC 189: Add text to subsection A.: </w:t>
      </w:r>
      <w:r w:rsidR="00C14213" w:rsidRPr="00BC480F">
        <w:rPr>
          <w:rFonts w:asciiTheme="minorHAnsi" w:eastAsia="Times New Roman" w:hAnsiTheme="minorHAnsi" w:cs="Helvetica"/>
          <w:i/>
        </w:rPr>
        <w:t>“or angle plane equivalent.” …..</w:t>
      </w:r>
      <w:r w:rsidR="00C14213" w:rsidRPr="00BC480F">
        <w:rPr>
          <w:rFonts w:asciiTheme="minorHAnsi" w:eastAsia="Times New Roman" w:hAnsiTheme="minorHAnsi"/>
        </w:rPr>
        <w:t>Support</w:t>
      </w:r>
      <w:r w:rsidR="00C14213" w:rsidRPr="00BC480F">
        <w:rPr>
          <w:rFonts w:asciiTheme="minorHAnsi" w:eastAsia="Times New Roman" w:hAnsiTheme="minorHAnsi" w:cs="Arial"/>
        </w:rPr>
        <w:t>ed by board unanimously on July 10.</w:t>
      </w:r>
    </w:p>
    <w:p w:rsidR="007C2A67" w:rsidRPr="00BC480F" w:rsidRDefault="007C2A67" w:rsidP="00C14213">
      <w:pPr>
        <w:shd w:val="clear" w:color="auto" w:fill="FFFFFF"/>
        <w:rPr>
          <w:rFonts w:asciiTheme="minorHAnsi" w:eastAsia="Times New Roman" w:hAnsiTheme="minorHAnsi"/>
          <w:b/>
        </w:rPr>
      </w:pPr>
    </w:p>
    <w:p w:rsidR="002B4EC0" w:rsidRPr="00BC480F" w:rsidRDefault="00BC480F" w:rsidP="00C14213">
      <w:pPr>
        <w:shd w:val="clear" w:color="auto" w:fill="FFFFFF"/>
        <w:rPr>
          <w:rFonts w:asciiTheme="minorHAnsi" w:eastAsia="Times New Roman" w:hAnsiTheme="minorHAnsi" w:cs="Arial"/>
          <w:i/>
        </w:rPr>
      </w:pPr>
      <w:r w:rsidRPr="00BC480F">
        <w:rPr>
          <w:rFonts w:asciiTheme="minorHAnsi" w:eastAsia="Times New Roman" w:hAnsiTheme="minorHAnsi"/>
          <w:b/>
        </w:rPr>
        <w:t xml:space="preserve">17. </w:t>
      </w:r>
      <w:r w:rsidR="00C14213" w:rsidRPr="00BC480F">
        <w:rPr>
          <w:rFonts w:asciiTheme="minorHAnsi" w:eastAsia="Times New Roman" w:hAnsiTheme="minorHAnsi"/>
          <w:b/>
        </w:rPr>
        <w:t>Drive–through or Drive-up facility</w:t>
      </w:r>
      <w:r w:rsidR="00C14213" w:rsidRPr="00BC480F">
        <w:rPr>
          <w:rFonts w:asciiTheme="minorHAnsi" w:eastAsia="Times New Roman" w:hAnsiTheme="minorHAnsi"/>
        </w:rPr>
        <w:t>….</w:t>
      </w:r>
      <w:r w:rsidR="006A7EA4" w:rsidRPr="00BC480F">
        <w:rPr>
          <w:rFonts w:asciiTheme="minorHAnsi" w:hAnsiTheme="minorHAnsi"/>
        </w:rPr>
        <w:t>4-3(F</w:t>
      </w:r>
      <w:r w:rsidR="005C5A9F" w:rsidRPr="00BC480F">
        <w:rPr>
          <w:rFonts w:asciiTheme="minorHAnsi" w:hAnsiTheme="minorHAnsi"/>
        </w:rPr>
        <w:t>) (</w:t>
      </w:r>
      <w:r w:rsidR="006A7EA4" w:rsidRPr="00BC480F">
        <w:rPr>
          <w:rFonts w:asciiTheme="minorHAnsi" w:hAnsiTheme="minorHAnsi"/>
        </w:rPr>
        <w:t>4</w:t>
      </w:r>
      <w:r w:rsidR="005C5A9F" w:rsidRPr="00BC480F">
        <w:rPr>
          <w:rFonts w:asciiTheme="minorHAnsi" w:hAnsiTheme="minorHAnsi"/>
        </w:rPr>
        <w:t>) (</w:t>
      </w:r>
      <w:r w:rsidR="006A7EA4" w:rsidRPr="00BC480F">
        <w:rPr>
          <w:rFonts w:asciiTheme="minorHAnsi" w:hAnsiTheme="minorHAnsi"/>
        </w:rPr>
        <w:t>f) T</w:t>
      </w:r>
      <w:r w:rsidR="00C14213" w:rsidRPr="00BC480F">
        <w:rPr>
          <w:rFonts w:asciiTheme="minorHAnsi" w:eastAsia="Times New Roman" w:hAnsiTheme="minorHAnsi"/>
        </w:rPr>
        <w:t xml:space="preserve">…page </w:t>
      </w:r>
      <w:r w:rsidR="006A7EA4" w:rsidRPr="00BC480F">
        <w:rPr>
          <w:rFonts w:asciiTheme="minorHAnsi" w:eastAsia="Times New Roman" w:hAnsiTheme="minorHAnsi"/>
        </w:rPr>
        <w:t>208</w:t>
      </w:r>
      <w:r w:rsidR="00C14213" w:rsidRPr="00BC480F">
        <w:rPr>
          <w:rFonts w:asciiTheme="minorHAnsi" w:eastAsia="Times New Roman" w:hAnsiTheme="minorHAnsi"/>
        </w:rPr>
        <w:t>…states</w:t>
      </w:r>
      <w:r w:rsidR="006A7EA4" w:rsidRPr="00BC480F">
        <w:rPr>
          <w:rFonts w:asciiTheme="minorHAnsi" w:eastAsia="Times New Roman" w:hAnsiTheme="minorHAnsi"/>
        </w:rPr>
        <w:t xml:space="preserve"> this use (</w:t>
      </w:r>
      <w:r w:rsidR="00C14213" w:rsidRPr="00BC480F">
        <w:rPr>
          <w:rFonts w:asciiTheme="minorHAnsi" w:eastAsia="Times New Roman" w:hAnsiTheme="minorHAnsi"/>
          <w:i/>
        </w:rPr>
        <w:t>drive through or drive up facility</w:t>
      </w:r>
      <w:r w:rsidR="006A7EA4" w:rsidRPr="00BC480F">
        <w:rPr>
          <w:rFonts w:asciiTheme="minorHAnsi" w:eastAsia="Times New Roman" w:hAnsiTheme="minorHAnsi"/>
          <w:i/>
        </w:rPr>
        <w:t>)</w:t>
      </w:r>
      <w:r w:rsidR="00C14213" w:rsidRPr="00BC480F">
        <w:rPr>
          <w:rFonts w:asciiTheme="minorHAnsi" w:eastAsia="Times New Roman" w:hAnsiTheme="minorHAnsi"/>
          <w:i/>
        </w:rPr>
        <w:t xml:space="preserve"> is prohibited in the following mapped areas”…Map d. Nob Hill</w:t>
      </w:r>
      <w:r w:rsidR="006A7EA4" w:rsidRPr="00BC480F">
        <w:rPr>
          <w:rFonts w:asciiTheme="minorHAnsi" w:eastAsia="Times New Roman" w:hAnsiTheme="minorHAnsi"/>
          <w:i/>
        </w:rPr>
        <w:t>/</w:t>
      </w:r>
      <w:r w:rsidR="00C14213" w:rsidRPr="00BC480F">
        <w:rPr>
          <w:rFonts w:asciiTheme="minorHAnsi" w:eastAsia="Times New Roman" w:hAnsiTheme="minorHAnsi"/>
          <w:i/>
        </w:rPr>
        <w:t>Highland</w:t>
      </w:r>
      <w:r w:rsidR="005C5A9F" w:rsidRPr="00BC480F">
        <w:rPr>
          <w:rFonts w:asciiTheme="minorHAnsi" w:eastAsia="Times New Roman" w:hAnsiTheme="minorHAnsi"/>
          <w:i/>
        </w:rPr>
        <w:t>... (</w:t>
      </w:r>
      <w:r w:rsidR="00C14213" w:rsidRPr="00BC480F">
        <w:rPr>
          <w:rFonts w:asciiTheme="minorHAnsi" w:eastAsia="Times New Roman" w:hAnsiTheme="minorHAnsi"/>
          <w:i/>
        </w:rPr>
        <w:t>entire area covered in Nob Hill Highland sector plan of 2007)</w:t>
      </w:r>
      <w:r w:rsidR="007C2A67" w:rsidRPr="00BC480F">
        <w:rPr>
          <w:rFonts w:asciiTheme="minorHAnsi" w:eastAsia="Times New Roman" w:hAnsiTheme="minorHAnsi"/>
          <w:i/>
        </w:rPr>
        <w:t>…..</w:t>
      </w:r>
      <w:r w:rsidR="00C14213" w:rsidRPr="00BC480F">
        <w:rPr>
          <w:rFonts w:asciiTheme="minorHAnsi" w:eastAsia="Times New Roman" w:hAnsiTheme="minorHAnsi"/>
        </w:rPr>
        <w:t>Support</w:t>
      </w:r>
      <w:r w:rsidR="00C14213" w:rsidRPr="00BC480F">
        <w:rPr>
          <w:rFonts w:asciiTheme="minorHAnsi" w:eastAsia="Times New Roman" w:hAnsiTheme="minorHAnsi" w:cs="Arial"/>
        </w:rPr>
        <w:t>ed by board unanimously on July 10.</w:t>
      </w:r>
      <w:bookmarkEnd w:id="0"/>
    </w:p>
    <w:sectPr w:rsidR="002B4EC0" w:rsidRPr="00BC480F" w:rsidSect="0076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24F"/>
    <w:multiLevelType w:val="hybridMultilevel"/>
    <w:tmpl w:val="74DA396A"/>
    <w:numStyleLink w:val="ImportedStyle3"/>
  </w:abstractNum>
  <w:abstractNum w:abstractNumId="1">
    <w:nsid w:val="033949E3"/>
    <w:multiLevelType w:val="hybridMultilevel"/>
    <w:tmpl w:val="74DA396A"/>
    <w:numStyleLink w:val="ImportedStyle3"/>
  </w:abstractNum>
  <w:abstractNum w:abstractNumId="2">
    <w:nsid w:val="14C75C2F"/>
    <w:multiLevelType w:val="multilevel"/>
    <w:tmpl w:val="A44220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52018E1"/>
    <w:multiLevelType w:val="hybridMultilevel"/>
    <w:tmpl w:val="9D8214E4"/>
    <w:lvl w:ilvl="0" w:tplc="045A630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8DE2921"/>
    <w:multiLevelType w:val="hybridMultilevel"/>
    <w:tmpl w:val="CD26DB3A"/>
    <w:lvl w:ilvl="0" w:tplc="86CCA23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96D189F"/>
    <w:multiLevelType w:val="hybridMultilevel"/>
    <w:tmpl w:val="08E0CC22"/>
    <w:lvl w:ilvl="0" w:tplc="B58ADE70">
      <w:start w:val="1"/>
      <w:numFmt w:val="decimal"/>
      <w:lvlText w:val="%1."/>
      <w:lvlJc w:val="left"/>
      <w:pPr>
        <w:ind w:left="630" w:hanging="360"/>
      </w:pPr>
      <w:rPr>
        <w:rFonts w:hint="default"/>
        <w:b/>
        <w:i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BCD44DB"/>
    <w:multiLevelType w:val="hybridMultilevel"/>
    <w:tmpl w:val="03A66658"/>
    <w:lvl w:ilvl="0" w:tplc="C4DCD07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D8246F0"/>
    <w:multiLevelType w:val="hybridMultilevel"/>
    <w:tmpl w:val="74DA396A"/>
    <w:styleLink w:val="ImportedStyle3"/>
    <w:lvl w:ilvl="0" w:tplc="EB76A9BA">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7A666DE">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2A20750">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B949B0A">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4DC9018">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7C8666">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8C6A718">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83C5BD4">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0B21758">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2B05130D"/>
    <w:multiLevelType w:val="hybridMultilevel"/>
    <w:tmpl w:val="6310DBBE"/>
    <w:lvl w:ilvl="0" w:tplc="2D4E859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F136C40"/>
    <w:multiLevelType w:val="hybridMultilevel"/>
    <w:tmpl w:val="4E962D72"/>
    <w:lvl w:ilvl="0" w:tplc="F120041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913158F"/>
    <w:multiLevelType w:val="hybridMultilevel"/>
    <w:tmpl w:val="B360E63C"/>
    <w:lvl w:ilvl="0" w:tplc="08FE32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5613BC5"/>
    <w:multiLevelType w:val="hybridMultilevel"/>
    <w:tmpl w:val="59A6C842"/>
    <w:lvl w:ilvl="0" w:tplc="01684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98D373D"/>
    <w:multiLevelType w:val="hybridMultilevel"/>
    <w:tmpl w:val="BE42891A"/>
    <w:lvl w:ilvl="0" w:tplc="4846335C">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D2AC2"/>
    <w:multiLevelType w:val="multilevel"/>
    <w:tmpl w:val="7C8A4940"/>
    <w:lvl w:ilvl="0">
      <w:start w:val="1"/>
      <w:numFmt w:val="decimal"/>
      <w:lvlText w:val="%1."/>
      <w:lvlJc w:val="left"/>
      <w:pPr>
        <w:tabs>
          <w:tab w:val="num" w:pos="720"/>
        </w:tabs>
        <w:ind w:left="72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710"/>
        </w:tabs>
        <w:ind w:left="171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DE4377E"/>
    <w:multiLevelType w:val="hybridMultilevel"/>
    <w:tmpl w:val="5268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D725A1"/>
    <w:multiLevelType w:val="multilevel"/>
    <w:tmpl w:val="8AFA16C4"/>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67394646"/>
    <w:multiLevelType w:val="hybridMultilevel"/>
    <w:tmpl w:val="65E2F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4"/>
  </w:num>
  <w:num w:numId="5">
    <w:abstractNumId w:val="8"/>
  </w:num>
  <w:num w:numId="6">
    <w:abstractNumId w:val="9"/>
  </w:num>
  <w:num w:numId="7">
    <w:abstractNumId w:val="1"/>
    <w:lvlOverride w:ilvl="0">
      <w:lvl w:ilvl="0" w:tplc="C3A066BC">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9488BBF4">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95A36B0">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B5C468E">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87015C6">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AC60A4A">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92045B0">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9DED6E2">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84EC586">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7"/>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lvl w:ilvl="0" w:tplc="7F30E7CE">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7128C14">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C7EEA1A">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51ED8F6">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9A43D40">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8C6708A">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566237C">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1341920">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3987CF4">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3">
    <w:abstractNumId w:val="11"/>
  </w:num>
  <w:num w:numId="14">
    <w:abstractNumId w:val="15"/>
  </w:num>
  <w:num w:numId="15">
    <w:abstractNumId w:val="14"/>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6F"/>
    <w:rsid w:val="000146F6"/>
    <w:rsid w:val="0001780A"/>
    <w:rsid w:val="00037448"/>
    <w:rsid w:val="00040A48"/>
    <w:rsid w:val="0004679C"/>
    <w:rsid w:val="0005147B"/>
    <w:rsid w:val="000643CA"/>
    <w:rsid w:val="00091DB0"/>
    <w:rsid w:val="0009722F"/>
    <w:rsid w:val="000C0B59"/>
    <w:rsid w:val="000C0F0B"/>
    <w:rsid w:val="000C496F"/>
    <w:rsid w:val="000D069B"/>
    <w:rsid w:val="000D1200"/>
    <w:rsid w:val="000D67FE"/>
    <w:rsid w:val="000E0834"/>
    <w:rsid w:val="000E74CB"/>
    <w:rsid w:val="000F1604"/>
    <w:rsid w:val="000F45AD"/>
    <w:rsid w:val="000F771C"/>
    <w:rsid w:val="00100E49"/>
    <w:rsid w:val="00105EAE"/>
    <w:rsid w:val="001121F3"/>
    <w:rsid w:val="00113E52"/>
    <w:rsid w:val="001173EC"/>
    <w:rsid w:val="00130160"/>
    <w:rsid w:val="001347F0"/>
    <w:rsid w:val="00135A2B"/>
    <w:rsid w:val="00162B7D"/>
    <w:rsid w:val="00167F4C"/>
    <w:rsid w:val="00187ABC"/>
    <w:rsid w:val="001A25C1"/>
    <w:rsid w:val="001A4862"/>
    <w:rsid w:val="001A4EB0"/>
    <w:rsid w:val="001C4D95"/>
    <w:rsid w:val="001C6E5F"/>
    <w:rsid w:val="001D0E6E"/>
    <w:rsid w:val="001D11AD"/>
    <w:rsid w:val="001E0AC0"/>
    <w:rsid w:val="00211EAF"/>
    <w:rsid w:val="00233E5D"/>
    <w:rsid w:val="002345E2"/>
    <w:rsid w:val="002546C8"/>
    <w:rsid w:val="002774C9"/>
    <w:rsid w:val="00280D62"/>
    <w:rsid w:val="002930AA"/>
    <w:rsid w:val="002A71A8"/>
    <w:rsid w:val="002B4EC0"/>
    <w:rsid w:val="002C65C6"/>
    <w:rsid w:val="002C6750"/>
    <w:rsid w:val="002D4EEB"/>
    <w:rsid w:val="002D4EFA"/>
    <w:rsid w:val="002E4B5F"/>
    <w:rsid w:val="002F6C3A"/>
    <w:rsid w:val="00301BB0"/>
    <w:rsid w:val="003140D7"/>
    <w:rsid w:val="00325E06"/>
    <w:rsid w:val="00326A11"/>
    <w:rsid w:val="0035624B"/>
    <w:rsid w:val="00363C4F"/>
    <w:rsid w:val="00375296"/>
    <w:rsid w:val="003926D4"/>
    <w:rsid w:val="00393B86"/>
    <w:rsid w:val="003A0937"/>
    <w:rsid w:val="003A62D4"/>
    <w:rsid w:val="003B503B"/>
    <w:rsid w:val="003B7679"/>
    <w:rsid w:val="003D30BC"/>
    <w:rsid w:val="003E36A3"/>
    <w:rsid w:val="003F28AB"/>
    <w:rsid w:val="0041112C"/>
    <w:rsid w:val="00415E50"/>
    <w:rsid w:val="004340B4"/>
    <w:rsid w:val="00437510"/>
    <w:rsid w:val="00440E58"/>
    <w:rsid w:val="00445511"/>
    <w:rsid w:val="00456E86"/>
    <w:rsid w:val="00457FAE"/>
    <w:rsid w:val="00463F64"/>
    <w:rsid w:val="004675BF"/>
    <w:rsid w:val="00467950"/>
    <w:rsid w:val="004963B3"/>
    <w:rsid w:val="004C43EA"/>
    <w:rsid w:val="005031D8"/>
    <w:rsid w:val="00503F22"/>
    <w:rsid w:val="00531C4E"/>
    <w:rsid w:val="00537EC9"/>
    <w:rsid w:val="00542391"/>
    <w:rsid w:val="00550E71"/>
    <w:rsid w:val="00552D61"/>
    <w:rsid w:val="0056445C"/>
    <w:rsid w:val="0057061A"/>
    <w:rsid w:val="00583755"/>
    <w:rsid w:val="00587E0C"/>
    <w:rsid w:val="00590612"/>
    <w:rsid w:val="00593BA8"/>
    <w:rsid w:val="005C5A9F"/>
    <w:rsid w:val="005D45C6"/>
    <w:rsid w:val="005D4611"/>
    <w:rsid w:val="005E302C"/>
    <w:rsid w:val="005F2C19"/>
    <w:rsid w:val="00600065"/>
    <w:rsid w:val="0061190A"/>
    <w:rsid w:val="00621399"/>
    <w:rsid w:val="006304F4"/>
    <w:rsid w:val="00633085"/>
    <w:rsid w:val="0066232D"/>
    <w:rsid w:val="0066625D"/>
    <w:rsid w:val="00671AF3"/>
    <w:rsid w:val="00682108"/>
    <w:rsid w:val="00682779"/>
    <w:rsid w:val="00695857"/>
    <w:rsid w:val="00696F24"/>
    <w:rsid w:val="00697860"/>
    <w:rsid w:val="006A7EA4"/>
    <w:rsid w:val="006B0FD1"/>
    <w:rsid w:val="006B1A11"/>
    <w:rsid w:val="006B4DD4"/>
    <w:rsid w:val="006B6648"/>
    <w:rsid w:val="006D1030"/>
    <w:rsid w:val="006D3300"/>
    <w:rsid w:val="006F417C"/>
    <w:rsid w:val="00716562"/>
    <w:rsid w:val="007175DF"/>
    <w:rsid w:val="00726ED4"/>
    <w:rsid w:val="007443B6"/>
    <w:rsid w:val="0075733F"/>
    <w:rsid w:val="00762D24"/>
    <w:rsid w:val="00763624"/>
    <w:rsid w:val="00766E87"/>
    <w:rsid w:val="00785FE4"/>
    <w:rsid w:val="00787A0F"/>
    <w:rsid w:val="007B0341"/>
    <w:rsid w:val="007B1BC2"/>
    <w:rsid w:val="007B22DE"/>
    <w:rsid w:val="007C0654"/>
    <w:rsid w:val="007C2A67"/>
    <w:rsid w:val="007D0446"/>
    <w:rsid w:val="007D47CD"/>
    <w:rsid w:val="007D5AB4"/>
    <w:rsid w:val="007E0A48"/>
    <w:rsid w:val="007E10A4"/>
    <w:rsid w:val="0081575A"/>
    <w:rsid w:val="00823F28"/>
    <w:rsid w:val="008268EF"/>
    <w:rsid w:val="00826988"/>
    <w:rsid w:val="008322C8"/>
    <w:rsid w:val="00834539"/>
    <w:rsid w:val="0083746F"/>
    <w:rsid w:val="00883985"/>
    <w:rsid w:val="00884940"/>
    <w:rsid w:val="00885925"/>
    <w:rsid w:val="00887F9D"/>
    <w:rsid w:val="00892887"/>
    <w:rsid w:val="008A3CF8"/>
    <w:rsid w:val="008A59BF"/>
    <w:rsid w:val="008B2835"/>
    <w:rsid w:val="008C18F9"/>
    <w:rsid w:val="008D577E"/>
    <w:rsid w:val="008F517D"/>
    <w:rsid w:val="00911B58"/>
    <w:rsid w:val="00912579"/>
    <w:rsid w:val="0093030A"/>
    <w:rsid w:val="00932EC0"/>
    <w:rsid w:val="00934E97"/>
    <w:rsid w:val="00962015"/>
    <w:rsid w:val="00973293"/>
    <w:rsid w:val="009A5020"/>
    <w:rsid w:val="009B445D"/>
    <w:rsid w:val="009C51D9"/>
    <w:rsid w:val="009D24D2"/>
    <w:rsid w:val="009D3357"/>
    <w:rsid w:val="009E1937"/>
    <w:rsid w:val="009E3060"/>
    <w:rsid w:val="009E3A07"/>
    <w:rsid w:val="009F49EE"/>
    <w:rsid w:val="00A12BB2"/>
    <w:rsid w:val="00A1494B"/>
    <w:rsid w:val="00A15D9C"/>
    <w:rsid w:val="00A1787B"/>
    <w:rsid w:val="00A40BD6"/>
    <w:rsid w:val="00A442B3"/>
    <w:rsid w:val="00A75B88"/>
    <w:rsid w:val="00A9079B"/>
    <w:rsid w:val="00AA2233"/>
    <w:rsid w:val="00AE124D"/>
    <w:rsid w:val="00AF462F"/>
    <w:rsid w:val="00AF55FE"/>
    <w:rsid w:val="00B0225C"/>
    <w:rsid w:val="00B05DCA"/>
    <w:rsid w:val="00B0609D"/>
    <w:rsid w:val="00B10C4A"/>
    <w:rsid w:val="00B1450C"/>
    <w:rsid w:val="00B205F1"/>
    <w:rsid w:val="00B25F67"/>
    <w:rsid w:val="00B40A92"/>
    <w:rsid w:val="00B4602A"/>
    <w:rsid w:val="00B57873"/>
    <w:rsid w:val="00B7676E"/>
    <w:rsid w:val="00B81A70"/>
    <w:rsid w:val="00BA3891"/>
    <w:rsid w:val="00BB5788"/>
    <w:rsid w:val="00BC480F"/>
    <w:rsid w:val="00BD34E6"/>
    <w:rsid w:val="00BF4BAD"/>
    <w:rsid w:val="00C042C3"/>
    <w:rsid w:val="00C137A5"/>
    <w:rsid w:val="00C14213"/>
    <w:rsid w:val="00C20698"/>
    <w:rsid w:val="00C466C3"/>
    <w:rsid w:val="00C47779"/>
    <w:rsid w:val="00C505CF"/>
    <w:rsid w:val="00C57C4A"/>
    <w:rsid w:val="00C72CE3"/>
    <w:rsid w:val="00C77B04"/>
    <w:rsid w:val="00C84C8E"/>
    <w:rsid w:val="00C91E26"/>
    <w:rsid w:val="00C93037"/>
    <w:rsid w:val="00C9461D"/>
    <w:rsid w:val="00C94C6F"/>
    <w:rsid w:val="00CA3B23"/>
    <w:rsid w:val="00CB2726"/>
    <w:rsid w:val="00CD1003"/>
    <w:rsid w:val="00CD6DCD"/>
    <w:rsid w:val="00CE09CE"/>
    <w:rsid w:val="00CF1A1B"/>
    <w:rsid w:val="00CF6E69"/>
    <w:rsid w:val="00D00DB7"/>
    <w:rsid w:val="00D16ACE"/>
    <w:rsid w:val="00D17AC8"/>
    <w:rsid w:val="00D206B9"/>
    <w:rsid w:val="00D27F7A"/>
    <w:rsid w:val="00D40F1B"/>
    <w:rsid w:val="00D62E3C"/>
    <w:rsid w:val="00D7435F"/>
    <w:rsid w:val="00D84851"/>
    <w:rsid w:val="00D94FE3"/>
    <w:rsid w:val="00DB049A"/>
    <w:rsid w:val="00DB643F"/>
    <w:rsid w:val="00DB6539"/>
    <w:rsid w:val="00DE2FD9"/>
    <w:rsid w:val="00DF7B2F"/>
    <w:rsid w:val="00E06CDD"/>
    <w:rsid w:val="00E121AE"/>
    <w:rsid w:val="00E22B24"/>
    <w:rsid w:val="00E23210"/>
    <w:rsid w:val="00E24FAE"/>
    <w:rsid w:val="00E42672"/>
    <w:rsid w:val="00E45F22"/>
    <w:rsid w:val="00E511C8"/>
    <w:rsid w:val="00E668F8"/>
    <w:rsid w:val="00E72220"/>
    <w:rsid w:val="00E9110A"/>
    <w:rsid w:val="00E92B3D"/>
    <w:rsid w:val="00EC621D"/>
    <w:rsid w:val="00EC78F9"/>
    <w:rsid w:val="00ED2DE3"/>
    <w:rsid w:val="00EE79CE"/>
    <w:rsid w:val="00F000AF"/>
    <w:rsid w:val="00F122AB"/>
    <w:rsid w:val="00F1296D"/>
    <w:rsid w:val="00F16CF3"/>
    <w:rsid w:val="00F31281"/>
    <w:rsid w:val="00F33178"/>
    <w:rsid w:val="00F43E01"/>
    <w:rsid w:val="00F475D2"/>
    <w:rsid w:val="00F56095"/>
    <w:rsid w:val="00F56494"/>
    <w:rsid w:val="00F6122F"/>
    <w:rsid w:val="00F64483"/>
    <w:rsid w:val="00F73B60"/>
    <w:rsid w:val="00F810A9"/>
    <w:rsid w:val="00F97345"/>
    <w:rsid w:val="00F97875"/>
    <w:rsid w:val="00F979E0"/>
    <w:rsid w:val="00FB1A39"/>
    <w:rsid w:val="00FB661E"/>
    <w:rsid w:val="00FC153E"/>
    <w:rsid w:val="00FF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4B5F"/>
    <w:pPr>
      <w:ind w:left="720"/>
      <w:contextualSpacing/>
    </w:pPr>
  </w:style>
  <w:style w:type="paragraph" w:styleId="BalloonText">
    <w:name w:val="Balloon Text"/>
    <w:basedOn w:val="Normal"/>
    <w:link w:val="BalloonTextChar"/>
    <w:uiPriority w:val="99"/>
    <w:semiHidden/>
    <w:unhideWhenUsed/>
    <w:rsid w:val="00F810A9"/>
    <w:rPr>
      <w:rFonts w:ascii="Tahoma" w:hAnsi="Tahoma" w:cs="Tahoma"/>
      <w:sz w:val="16"/>
      <w:szCs w:val="16"/>
    </w:rPr>
  </w:style>
  <w:style w:type="character" w:customStyle="1" w:styleId="BalloonTextChar">
    <w:name w:val="Balloon Text Char"/>
    <w:basedOn w:val="DefaultParagraphFont"/>
    <w:link w:val="BalloonText"/>
    <w:uiPriority w:val="99"/>
    <w:semiHidden/>
    <w:rsid w:val="00F810A9"/>
    <w:rPr>
      <w:rFonts w:ascii="Tahoma" w:hAnsi="Tahoma" w:cs="Tahoma"/>
      <w:sz w:val="16"/>
      <w:szCs w:val="16"/>
    </w:rPr>
  </w:style>
  <w:style w:type="character" w:styleId="Hyperlink">
    <w:name w:val="Hyperlink"/>
    <w:basedOn w:val="DefaultParagraphFont"/>
    <w:uiPriority w:val="99"/>
    <w:unhideWhenUsed/>
    <w:rsid w:val="00E24FAE"/>
    <w:rPr>
      <w:color w:val="0000FF" w:themeColor="hyperlink"/>
      <w:u w:val="single"/>
    </w:rPr>
  </w:style>
  <w:style w:type="numbering" w:customStyle="1" w:styleId="ImportedStyle3">
    <w:name w:val="Imported Style 3"/>
    <w:rsid w:val="000E74CB"/>
    <w:pPr>
      <w:numPr>
        <w:numId w:val="8"/>
      </w:numPr>
    </w:pPr>
  </w:style>
  <w:style w:type="character" w:styleId="FollowedHyperlink">
    <w:name w:val="FollowedHyperlink"/>
    <w:basedOn w:val="DefaultParagraphFont"/>
    <w:uiPriority w:val="99"/>
    <w:semiHidden/>
    <w:unhideWhenUsed/>
    <w:rsid w:val="000F771C"/>
    <w:rPr>
      <w:color w:val="800080" w:themeColor="followedHyperlink"/>
      <w:u w:val="single"/>
    </w:rPr>
  </w:style>
  <w:style w:type="paragraph" w:customStyle="1" w:styleId="Body">
    <w:name w:val="Body"/>
    <w:rsid w:val="00C20698"/>
    <w:pPr>
      <w:spacing w:after="0" w:line="240" w:lineRule="auto"/>
    </w:pPr>
    <w:rPr>
      <w:rFonts w:ascii="Times New Roman" w:eastAsia="Arial Unicode MS" w:hAnsi="Times New Roman" w:cs="Arial Unicode MS"/>
      <w:color w:val="000000"/>
      <w:sz w:val="24"/>
      <w:szCs w:val="24"/>
      <w:u w:color="000000"/>
    </w:rPr>
  </w:style>
  <w:style w:type="character" w:customStyle="1" w:styleId="Link">
    <w:name w:val="Link"/>
    <w:rsid w:val="00C20698"/>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4B5F"/>
    <w:pPr>
      <w:ind w:left="720"/>
      <w:contextualSpacing/>
    </w:pPr>
  </w:style>
  <w:style w:type="paragraph" w:styleId="BalloonText">
    <w:name w:val="Balloon Text"/>
    <w:basedOn w:val="Normal"/>
    <w:link w:val="BalloonTextChar"/>
    <w:uiPriority w:val="99"/>
    <w:semiHidden/>
    <w:unhideWhenUsed/>
    <w:rsid w:val="00F810A9"/>
    <w:rPr>
      <w:rFonts w:ascii="Tahoma" w:hAnsi="Tahoma" w:cs="Tahoma"/>
      <w:sz w:val="16"/>
      <w:szCs w:val="16"/>
    </w:rPr>
  </w:style>
  <w:style w:type="character" w:customStyle="1" w:styleId="BalloonTextChar">
    <w:name w:val="Balloon Text Char"/>
    <w:basedOn w:val="DefaultParagraphFont"/>
    <w:link w:val="BalloonText"/>
    <w:uiPriority w:val="99"/>
    <w:semiHidden/>
    <w:rsid w:val="00F810A9"/>
    <w:rPr>
      <w:rFonts w:ascii="Tahoma" w:hAnsi="Tahoma" w:cs="Tahoma"/>
      <w:sz w:val="16"/>
      <w:szCs w:val="16"/>
    </w:rPr>
  </w:style>
  <w:style w:type="character" w:styleId="Hyperlink">
    <w:name w:val="Hyperlink"/>
    <w:basedOn w:val="DefaultParagraphFont"/>
    <w:uiPriority w:val="99"/>
    <w:unhideWhenUsed/>
    <w:rsid w:val="00E24FAE"/>
    <w:rPr>
      <w:color w:val="0000FF" w:themeColor="hyperlink"/>
      <w:u w:val="single"/>
    </w:rPr>
  </w:style>
  <w:style w:type="numbering" w:customStyle="1" w:styleId="ImportedStyle3">
    <w:name w:val="Imported Style 3"/>
    <w:rsid w:val="000E74CB"/>
    <w:pPr>
      <w:numPr>
        <w:numId w:val="8"/>
      </w:numPr>
    </w:pPr>
  </w:style>
  <w:style w:type="character" w:styleId="FollowedHyperlink">
    <w:name w:val="FollowedHyperlink"/>
    <w:basedOn w:val="DefaultParagraphFont"/>
    <w:uiPriority w:val="99"/>
    <w:semiHidden/>
    <w:unhideWhenUsed/>
    <w:rsid w:val="000F771C"/>
    <w:rPr>
      <w:color w:val="800080" w:themeColor="followedHyperlink"/>
      <w:u w:val="single"/>
    </w:rPr>
  </w:style>
  <w:style w:type="paragraph" w:customStyle="1" w:styleId="Body">
    <w:name w:val="Body"/>
    <w:rsid w:val="00C20698"/>
    <w:pPr>
      <w:spacing w:after="0" w:line="240" w:lineRule="auto"/>
    </w:pPr>
    <w:rPr>
      <w:rFonts w:ascii="Times New Roman" w:eastAsia="Arial Unicode MS" w:hAnsi="Times New Roman" w:cs="Arial Unicode MS"/>
      <w:color w:val="000000"/>
      <w:sz w:val="24"/>
      <w:szCs w:val="24"/>
      <w:u w:color="000000"/>
    </w:rPr>
  </w:style>
  <w:style w:type="character" w:customStyle="1" w:styleId="Link">
    <w:name w:val="Link"/>
    <w:rsid w:val="00C2069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432">
      <w:bodyDiv w:val="1"/>
      <w:marLeft w:val="0"/>
      <w:marRight w:val="0"/>
      <w:marTop w:val="0"/>
      <w:marBottom w:val="0"/>
      <w:divBdr>
        <w:top w:val="none" w:sz="0" w:space="0" w:color="auto"/>
        <w:left w:val="none" w:sz="0" w:space="0" w:color="auto"/>
        <w:bottom w:val="none" w:sz="0" w:space="0" w:color="auto"/>
        <w:right w:val="none" w:sz="0" w:space="0" w:color="auto"/>
      </w:divBdr>
    </w:div>
    <w:div w:id="265043424">
      <w:bodyDiv w:val="1"/>
      <w:marLeft w:val="0"/>
      <w:marRight w:val="0"/>
      <w:marTop w:val="0"/>
      <w:marBottom w:val="0"/>
      <w:divBdr>
        <w:top w:val="none" w:sz="0" w:space="0" w:color="auto"/>
        <w:left w:val="none" w:sz="0" w:space="0" w:color="auto"/>
        <w:bottom w:val="none" w:sz="0" w:space="0" w:color="auto"/>
        <w:right w:val="none" w:sz="0" w:space="0" w:color="auto"/>
      </w:divBdr>
    </w:div>
    <w:div w:id="313529045">
      <w:bodyDiv w:val="1"/>
      <w:marLeft w:val="0"/>
      <w:marRight w:val="0"/>
      <w:marTop w:val="0"/>
      <w:marBottom w:val="0"/>
      <w:divBdr>
        <w:top w:val="none" w:sz="0" w:space="0" w:color="auto"/>
        <w:left w:val="none" w:sz="0" w:space="0" w:color="auto"/>
        <w:bottom w:val="none" w:sz="0" w:space="0" w:color="auto"/>
        <w:right w:val="none" w:sz="0" w:space="0" w:color="auto"/>
      </w:divBdr>
    </w:div>
    <w:div w:id="434011490">
      <w:bodyDiv w:val="1"/>
      <w:marLeft w:val="0"/>
      <w:marRight w:val="0"/>
      <w:marTop w:val="0"/>
      <w:marBottom w:val="0"/>
      <w:divBdr>
        <w:top w:val="none" w:sz="0" w:space="0" w:color="auto"/>
        <w:left w:val="none" w:sz="0" w:space="0" w:color="auto"/>
        <w:bottom w:val="none" w:sz="0" w:space="0" w:color="auto"/>
        <w:right w:val="none" w:sz="0" w:space="0" w:color="auto"/>
      </w:divBdr>
    </w:div>
    <w:div w:id="1001661597">
      <w:bodyDiv w:val="1"/>
      <w:marLeft w:val="0"/>
      <w:marRight w:val="0"/>
      <w:marTop w:val="0"/>
      <w:marBottom w:val="0"/>
      <w:divBdr>
        <w:top w:val="none" w:sz="0" w:space="0" w:color="auto"/>
        <w:left w:val="none" w:sz="0" w:space="0" w:color="auto"/>
        <w:bottom w:val="none" w:sz="0" w:space="0" w:color="auto"/>
        <w:right w:val="none" w:sz="0" w:space="0" w:color="auto"/>
      </w:divBdr>
    </w:div>
    <w:div w:id="1134642988">
      <w:bodyDiv w:val="1"/>
      <w:marLeft w:val="0"/>
      <w:marRight w:val="0"/>
      <w:marTop w:val="0"/>
      <w:marBottom w:val="0"/>
      <w:divBdr>
        <w:top w:val="none" w:sz="0" w:space="0" w:color="auto"/>
        <w:left w:val="none" w:sz="0" w:space="0" w:color="auto"/>
        <w:bottom w:val="none" w:sz="0" w:space="0" w:color="auto"/>
        <w:right w:val="none" w:sz="0" w:space="0" w:color="auto"/>
      </w:divBdr>
    </w:div>
    <w:div w:id="1179582852">
      <w:bodyDiv w:val="1"/>
      <w:marLeft w:val="0"/>
      <w:marRight w:val="0"/>
      <w:marTop w:val="0"/>
      <w:marBottom w:val="0"/>
      <w:divBdr>
        <w:top w:val="none" w:sz="0" w:space="0" w:color="auto"/>
        <w:left w:val="none" w:sz="0" w:space="0" w:color="auto"/>
        <w:bottom w:val="none" w:sz="0" w:space="0" w:color="auto"/>
        <w:right w:val="none" w:sz="0" w:space="0" w:color="auto"/>
      </w:divBdr>
    </w:div>
    <w:div w:id="1279146305">
      <w:bodyDiv w:val="1"/>
      <w:marLeft w:val="0"/>
      <w:marRight w:val="0"/>
      <w:marTop w:val="0"/>
      <w:marBottom w:val="0"/>
      <w:divBdr>
        <w:top w:val="none" w:sz="0" w:space="0" w:color="auto"/>
        <w:left w:val="none" w:sz="0" w:space="0" w:color="auto"/>
        <w:bottom w:val="none" w:sz="0" w:space="0" w:color="auto"/>
        <w:right w:val="none" w:sz="0" w:space="0" w:color="auto"/>
      </w:divBdr>
    </w:div>
    <w:div w:id="1516260174">
      <w:bodyDiv w:val="1"/>
      <w:marLeft w:val="0"/>
      <w:marRight w:val="0"/>
      <w:marTop w:val="0"/>
      <w:marBottom w:val="0"/>
      <w:divBdr>
        <w:top w:val="none" w:sz="0" w:space="0" w:color="auto"/>
        <w:left w:val="none" w:sz="0" w:space="0" w:color="auto"/>
        <w:bottom w:val="none" w:sz="0" w:space="0" w:color="auto"/>
        <w:right w:val="none" w:sz="0" w:space="0" w:color="auto"/>
      </w:divBdr>
    </w:div>
    <w:div w:id="1789471856">
      <w:bodyDiv w:val="1"/>
      <w:marLeft w:val="0"/>
      <w:marRight w:val="0"/>
      <w:marTop w:val="0"/>
      <w:marBottom w:val="0"/>
      <w:divBdr>
        <w:top w:val="none" w:sz="0" w:space="0" w:color="auto"/>
        <w:left w:val="none" w:sz="0" w:space="0" w:color="auto"/>
        <w:bottom w:val="none" w:sz="0" w:space="0" w:color="auto"/>
        <w:right w:val="none" w:sz="0" w:space="0" w:color="auto"/>
      </w:divBdr>
    </w:div>
    <w:div w:id="1817381455">
      <w:bodyDiv w:val="1"/>
      <w:marLeft w:val="0"/>
      <w:marRight w:val="0"/>
      <w:marTop w:val="0"/>
      <w:marBottom w:val="0"/>
      <w:divBdr>
        <w:top w:val="none" w:sz="0" w:space="0" w:color="auto"/>
        <w:left w:val="none" w:sz="0" w:space="0" w:color="auto"/>
        <w:bottom w:val="none" w:sz="0" w:space="0" w:color="auto"/>
        <w:right w:val="none" w:sz="0" w:space="0" w:color="auto"/>
      </w:divBdr>
    </w:div>
    <w:div w:id="18539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tega@cabq.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5168A7-D077-4931-91D5-15761CA6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5</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34</cp:revision>
  <cp:lastPrinted>2017-07-24T17:23:00Z</cp:lastPrinted>
  <dcterms:created xsi:type="dcterms:W3CDTF">2017-08-08T21:57:00Z</dcterms:created>
  <dcterms:modified xsi:type="dcterms:W3CDTF">2017-08-09T22:10:00Z</dcterms:modified>
</cp:coreProperties>
</file>